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网络与新媒体</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网络与新媒体</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eastAsia="zh-CN"/>
        </w:rPr>
        <w:t>新闻传播学</w:t>
      </w:r>
      <w:r>
        <w:rPr>
          <w:rFonts w:hint="eastAsia" w:ascii="仿宋_GB2312" w:hAnsi="仿宋_GB2312" w:eastAsia="仿宋_GB2312" w:cs="仿宋_GB2312"/>
          <w:sz w:val="24"/>
          <w:szCs w:val="24"/>
          <w:highlight w:val="none"/>
          <w:lang w:val="en-US" w:eastAsia="zh-CN"/>
        </w:rPr>
        <w:t>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rPr>
        <w:t xml:space="preserve">050306T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highlight w:val="none"/>
        </w:rPr>
        <w:t>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eastAsia="zh-CN"/>
        </w:rPr>
        <w:t>文学</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hint="eastAsia" w:ascii="仿宋_GB2312" w:hAnsi="仿宋_GB2312" w:eastAsia="仿宋_GB2312" w:cs="仿宋_GB2312"/>
          <w:b w:val="0"/>
          <w:bCs/>
          <w:sz w:val="24"/>
          <w:szCs w:val="24"/>
          <w:highlight w:val="none"/>
          <w:lang w:eastAsia="zh-CN"/>
        </w:rPr>
        <w:t>本</w:t>
      </w:r>
      <w:r>
        <w:rPr>
          <w:rFonts w:hint="eastAsia" w:ascii="仿宋_GB2312" w:hAnsi="仿宋_GB2312" w:eastAsia="仿宋_GB2312" w:cs="仿宋_GB2312"/>
          <w:sz w:val="24"/>
          <w:szCs w:val="24"/>
        </w:rPr>
        <w:t>专业培养拥护中国共产党的领导，拥护中国特色社会主义制度，理想信念坚定，德智体美劳全面发展，具有一定的科学文化水平，具有良好的人文素养、职业道德、创新精神和工匠精神，具有较强的职业能力、就业能力和可持续发展的能力，掌握新闻传播学和信息科学基本理论，拥有互联网创意思维能力和新媒体技术应用能力，具备新媒体内容集成、网络数据调查分析、数字产品设计与开发、新媒体运营以及互联网信息管理等扎实专业技能，面向媒体、互联网、电商和机关事业单位等行业的职业群或岗位群，能够从事新媒体相关工作的“厚德、励志、博学、创新”的高素质技术技能人才。</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（1）坚定拥护中国共产党领导和我国社会主义制度，在习近平新时代中国特色社会主义思想指引下，践行社会主义核心价值观，具有深厚的爱国情感和中华民族自豪感；</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（2）崇尚宪法、遵法守纪、崇德向善、诚实守信、尊重生命、热爱劳动，履行道德准则和行为规范，具有社会责任感和社会参与意识；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（3）具有质量意识、环保意识、安全意识、信息素养、工匠精神、创新思维；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（4）勇于奋斗、乐观向上，具有自我管理能力、职业生涯规划的意识，有较强的集体意识和团队合作精神；</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（5）具有健康的体魄、心理和健全的人格，掌握基本运动知识和1-2项运动技能，养成良好的健身与卫生习惯，良好的行为习惯；</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sz w:val="24"/>
          <w:szCs w:val="24"/>
        </w:rPr>
        <w:t>（6）具有一定的审美和人文素养，能够形成1-2项艺术特长或爱好</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2.知识要求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sz w:val="24"/>
          <w:szCs w:val="24"/>
        </w:rPr>
        <w:t>掌握新闻传播学相关理论知识和基本业务技能，拥有比较广博和扎实的人文学科和社会科学基本知识；了解党和国家新闻宣传的方针、政策和相关法规；掌握业界发展现状与变化趋势，了解外国行业和专业发展动态；了解并掌握计算机和现代新媒体技术基础知识以及相关应用；熟练掌握1门外语，在外语的听、说、读、写、译方面达到较高的实际应用水平；掌握科学的辩证思维方法，具有基本的人文社会科学调查研究能力；掌握媒介经营管理的相关原理和知识，具备一定的市场营销、媒介调查、媒体策划与运营等方面的知识和能力；了解并掌握创新创业的基本知识与技能，具备创新思维与一定的创业素质与能力。</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3.能力要求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rPr>
        <w:t>具备与新闻传播学类工作相适应的理论学习能力，并掌握持续学习的方法；具备与新闻传播实践的发展变化相适应的业务动手能力和实践创新能力；具备良好的语言文字表达能力与沟通能力；具备计算机和现代新媒体技术的应用能力；掌握社会科学研究的基本方法，具备初步的社会科学调查与研究能力；熟练掌握新闻采、写、编、发布及新闻摄影、摄像的技能；熟练掌握各类数据采集、分析的技能；掌握按照设计意图创作作品、制作产品的技能；掌握基础设计、图像处理软件应用的技能；熟练掌握、音视频作品制作、剪辑的技能；熟练地掌握计算机操作及使用常用办公软件的技能。</w:t>
      </w:r>
    </w:p>
    <w:p>
      <w:pPr>
        <w:rPr>
          <w:rFonts w:ascii="黑体" w:hAnsi="黑体" w:eastAsia="黑体"/>
          <w:sz w:val="24"/>
          <w:szCs w:val="24"/>
          <w:highlight w:val="none"/>
        </w:rPr>
      </w:pPr>
      <w:r>
        <w:rPr>
          <w:rFonts w:hint="eastAsia" w:ascii="黑体" w:hAnsi="黑体" w:eastAsia="黑体"/>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6"/>
        <w:gridCol w:w="1808"/>
        <w:gridCol w:w="7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新媒体概论</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lang w:bidi="ar"/>
              </w:rPr>
              <w:t>本课程是学科基础课，课程内容对新媒体的概念、特征、产生背景、社会影响、产业发展、新媒体带来的媒介融合、新媒体管理规范等问题进行了系统深入阐述。该课程教学时理论联系实际，在介绍基本理论的前提下，侧重于新媒体的应用现状及发展趋势的探讨，培养学生运用基本理论，结合现实资料，进行逻辑推理，科学预测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基础写作</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基础写作”是高校各专业尤其是文学学科的一门必修基础课，它兼具理论性、实践性和应用性。它既区别于基础教育阶段的作文教学而突出系统的知识传授与技能训练；又区别于专门领域的应用写作教学；它应该是中小学阶段学习成果的归纳，又为今后的应用写作学习夯实基础。在新闻学或相近专业，本课程旨在让学生掌握书面语言表达的一般规律和高阶能力，它和语言学课程、文学课程、逻辑思维类课程都有紧密的联系，从而构建科学的理论体系并丰富实践经验。本课程紧跟科技进步的步伐，充分注意写作工具和写作载体的变化，结合智能工具的发展，更新教学内容。适当运用近年总结的混合式教学方法，调动学生建构式学习的积极性，发挥立体化教材的优势，利用网络资源，拓展课堂教学，加大技能训练，提高教学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传播学概论</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lang w:bidi="ar"/>
              </w:rPr>
              <w:t>这门课将围绕传播学研究对象、研究方法、传播历史、人类传播的符号和意义、人类传播的过程与系统结构、人类传播的类型（人内传播、人际传播、群体传播、集合行为、组织传播、大众传播等）、媒介技术与媒介组织、传播制度与媒介规范理论、社会转型与受众变迁、传播效果研究、国际传播等内容进行介绍，并通过课堂的讨论与课后阅读，理解各个理论的逻辑与适用范围，并且学习建构理论过程中的思维方式和具体的研究方法，并能将其应用到将来的研究、工作与生活之中。在本课程的教学中，既注重传播基础知识的教学，又将结合前沿理论对最新传播现象进行讲解，还将分析本土的、当今时代的传播现象和媒介事件；既把科学实证与人文反思相结合，又把工具理性和社会批判相结合，还把微观事件的条分缕析与宏观语境的准确定位相结合。本课程的内容力求集知识的基础性与理论的前沿性、内容的多样性与理论的本土化、方法的操作性与知识的时代性于一身</w:t>
            </w:r>
            <w:r>
              <w:rPr>
                <w:rFonts w:hint="eastAsia" w:ascii="仿宋_GB2312" w:hAnsi="仿宋_GB2312" w:eastAsia="仿宋_GB2312" w:cs="仿宋_GB2312"/>
                <w:sz w:val="21"/>
                <w:szCs w:val="21"/>
                <w:lang w:val="zh-TW" w:eastAsia="zh-TW"/>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社会学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本课程是一门历史久远的理论学科，同时也是一门应用性极强的学科，是专业基础课。本课程旨在通过对学生讲授该课程</w:t>
            </w:r>
            <w:r>
              <w:rPr>
                <w:rFonts w:hint="eastAsia" w:ascii="仿宋_GB2312" w:hAnsi="仿宋_GB2312" w:eastAsia="仿宋_GB2312" w:cs="仿宋_GB2312"/>
                <w:color w:val="000000"/>
                <w:kern w:val="0"/>
                <w:sz w:val="21"/>
                <w:szCs w:val="21"/>
                <w:highlight w:val="none"/>
                <w:lang w:eastAsia="zh-CN" w:bidi="ar"/>
              </w:rPr>
              <w:t>，</w:t>
            </w:r>
            <w:r>
              <w:rPr>
                <w:rFonts w:hint="eastAsia" w:ascii="仿宋_GB2312" w:hAnsi="仿宋_GB2312" w:eastAsia="仿宋_GB2312" w:cs="仿宋_GB2312"/>
                <w:color w:val="000000"/>
                <w:kern w:val="0"/>
                <w:sz w:val="21"/>
                <w:szCs w:val="21"/>
                <w:highlight w:val="none"/>
                <w:lang w:bidi="ar"/>
              </w:rPr>
              <w:t>增强学生对当前中外社会现象的了解</w:t>
            </w:r>
            <w:r>
              <w:rPr>
                <w:rFonts w:hint="eastAsia" w:ascii="仿宋_GB2312" w:hAnsi="仿宋_GB2312" w:eastAsia="仿宋_GB2312" w:cs="仿宋_GB2312"/>
                <w:color w:val="000000"/>
                <w:kern w:val="0"/>
                <w:sz w:val="21"/>
                <w:szCs w:val="21"/>
                <w:highlight w:val="none"/>
                <w:lang w:eastAsia="zh-CN" w:bidi="ar"/>
              </w:rPr>
              <w:t>，</w:t>
            </w:r>
            <w:r>
              <w:rPr>
                <w:rFonts w:hint="eastAsia" w:ascii="仿宋_GB2312" w:hAnsi="仿宋_GB2312" w:eastAsia="仿宋_GB2312" w:cs="仿宋_GB2312"/>
                <w:color w:val="000000"/>
                <w:kern w:val="0"/>
                <w:sz w:val="21"/>
                <w:szCs w:val="21"/>
                <w:highlight w:val="none"/>
                <w:lang w:bidi="ar"/>
              </w:rPr>
              <w:t>同时培养科学地看问题与分析问题的方法，从宏观上科学地分析和研究社会，对各种社会现象进行理论解释，对未来社会的发展趋势进行预测。通过对社会学的学习，把握在制定正确的社会政策、维护社会稳定和繁荣、科学地解决社会问题等方面社会学所提供的独特视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马克思主义新闻观</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旨在通过学习马克思主义经典作家和后来党的主要领导人关于信息传播、宣传、新闻、文化、传播政策，以及党组织内部思想交流等等的论述。在宏观上把握马克思主义新闻观的实质、形成过程、中国化的过程及其当前对于中国新闻事业发展的重要指导意义。了解马克思、恩格斯、列宁对新闻工作新闻活动的认识和理论总结，深入理解毛泽东、刘少奇、邓小平、江泽民、胡锦涛、习近平的新闻思想对马克思主义新闻观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数字媒体技术</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lang w:bidi="ar"/>
              </w:rPr>
              <w:t>教师课堂内讲解相关技术原理，展示技术实施过程，并布置相应任务。学生在课堂以及课后按时完成相应要求任务。任务完成后，学生对作品提交详尽分析报告、实施流程以及成品效果。教师对作品进行评点分析，提出改进意见。主要内容有：1、数字图像制作；2、数字视频拍摄、转码；3、视频编辑，视频效果处理；4、二维动画，MG动画制作；5、3dsmax实验；6、数码录音、采集、合成与音效合成；7、H5制作移动宣传册；8、推流、编码、云分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新闻传播学研究方法</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lang w:bidi="ar"/>
              </w:rPr>
              <w:t>该课程分为三篇：分别是研究概论、典型的研究方法和研究数据分析。第一篇为基础篇。学生将了解研究方法的基本概念、建构、质与量的研究，以便对科学研究有一定的研究基础。第二篇为典型的研究方法篇，学生通过该篇将掌握典型的研究方法：调查研究法、实验研究法、内容分析法、观察与实地研究法、解释结构模型法。其中要求学生必须掌握的研究方法为：调查研究法、内容分析法、观察与实地研究法。第三篇为研究数据分析篇，该篇主要为实践操作，学生将掌握基本的SPSS统计软件的基本操作与数据分析，以及三类论文的撰写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媒介伦理与法规</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lang w:bidi="ar"/>
              </w:rPr>
              <w:t>媒介伦理属于哲学范畴，新闻法规属于法学门类，这就意味着该课程会跨越两个学科，既解析新闻传播活动的内部自律问题，也关涉传播活动的外部规范问题；既要将具体的问题讲清谈透，也要将抽象思辨的问题形塑边界。本课程将分析新闻伦理争议的源头，在中国新闻传播法的框架下，审视新闻传播活动过程中各类主体的法律关系。本课程旨在让学生了解新闻职业道德与法规的一般原理与原则，了解新闻活动中的违反法律与道德现象的表现及其如何避免出现失范现象，从而培养学生的新闻职业道德和敬业精神，成为遵纪守法的新闻工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新媒体概论</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lang w:bidi="ar"/>
              </w:rPr>
              <w:t>本课程是学科基础课，课程内容对新媒体的概念、特征、产生背景、社会影响、产业发展、新媒体带来的媒介融合、新媒体管理规范等问题进行了系统深入阐述。该课程教学时理论联系实际，在介绍基本理论的前提下，侧重于新媒体的应用现状及发展趋势的探讨，培养学生运用基本理论，结合现实资料，进行逻辑推理，科学预测的能力。</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808"/>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新媒体写作</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lang w:bidi="ar"/>
              </w:rPr>
              <w:t>新媒体写作以基于新媒体平台的写作基本原理、形态发展与方法技巧应用为主要教学内容。通过学习该课程，学生可以学习新媒体写作的理论原理和实践技巧，通过案例分析、实践操作和小组讨论培养并提升新媒体平台的写作能力，加深对新媒体内容生产和传播规律的认知。本课程主要围绕新媒体写作基本原理、写作基础知识、新媒体写作的主要类型及其写作方法和技巧、新媒体写作的政策法规和平台规则四个部分的内容展开。通过本课程的学习，学生可以在了解新媒体写作基本轮廓和分类的基础上，学习新媒体写作的一般流程、技巧和规律，培养和提升新媒体平台的写作能力，根据不同平台特征熟练开展相应类型的写作活动，加深对新媒体发展规律的认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摄影与摄像</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lang w:bidi="ar"/>
              </w:rPr>
              <w:t>通过对单反和摄像机的基本操作实验，让学生熟悉设备的基础操作。通过人像、风景、录音合成、场面调度拍摄实验，让学生掌握基本的拍摄内容，完成行业要去的基本操作，掌握行业的技术。综合实验目的是让学生对所学知识融会贯通，而且能够自觉运用艺术规律从事创作，独立完成摄影与摄像工作任务、人像拍摄、新闻拍摄和短视频拍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数据挖掘方法与应用</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本书主要根据作者近几年在清华大学面向研究生和本科生开设的“数据挖掘：方法与应用”课程的教学实践与积累，参考近几年国外著名大学相关课程的教学体系，系统的介绍数据挖掘的基本概念和基本原理方法；结合一些典型的应用实例展示用数据挖掘的思维方法求解问题的一般性模式与思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399"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新媒体运营</w:t>
            </w:r>
            <w:r>
              <w:rPr>
                <w:rFonts w:hint="eastAsia" w:ascii="仿宋_GB2312" w:hAnsi="仿宋_GB2312" w:eastAsia="仿宋_GB2312" w:cs="仿宋_GB2312"/>
                <w:color w:val="000000"/>
                <w:kern w:val="0"/>
                <w:sz w:val="21"/>
                <w:szCs w:val="21"/>
                <w:highlight w:val="none"/>
                <w:lang w:bidi="ar"/>
              </w:rPr>
              <w:t>Ⅰ</w:t>
            </w:r>
          </w:p>
        </w:tc>
        <w:tc>
          <w:tcPr>
            <w:tcW w:w="3667"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lang w:bidi="ar"/>
              </w:rPr>
              <w:t>通过让学生搭建新媒体矩阵，掌握各平台技术机制以及新媒体搭建技巧，并且能熟练掌握多平台数据分析工具、商业化产品矩阵、内容变现路径以及最新营销模式，学生通过实践不仅能够运用移动新媒体实务中的基本工具，而且能够自觉运用这些规律从事创作，独立完成新媒体矩阵的搭建、内容规划和运营等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399"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新媒体运营Ⅱ</w:t>
            </w:r>
          </w:p>
        </w:tc>
        <w:tc>
          <w:tcPr>
            <w:tcW w:w="3667"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网络数据分析与应用</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lang w:bidi="ar"/>
              </w:rPr>
              <w:t>培养学生的信息处理能力、信息分析与应用能力、信息表达能力具有重要的作用。通过课堂教授的内容，学生能够针对实际应用中遇到的不同类型的数据进行分析、处理以及可视化展示。能够结合大数据时代的特征进行数据获取与挖掘。旨在使学生了解网络数据的处理的相关基本概念、基本方法和应用实践，了解数据分析应用的前沿研究进展和发展方向，为后续工作中对大数据分析以及可视化展示打下良好的认识基础与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融合新闻</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lang w:bidi="ar"/>
              </w:rPr>
              <w:t>新兴媒介技术不断涌现，深刻地改写了媒介表达的形态、语态、生态。面对未来全媒体生态格局，新闻生产方式需要创新，新闻形态、新闻语言也需要创新。作为一名新闻工作者，不仅要具备对社会问题的认知能力，即对社会疼痛的职业敏感以及社会问题的专业理解，同时也需要具备融合新闻表达能力，即通过融合新闻的表达形式，实现新闻议题的策划和表达。本课程聚焦网页新闻、数据新闻、短视频新闻、H5新闻、VR新闻、动画新闻、算法新闻、新闻游戏、移动直播等融合新闻形态，旨在帮助学生认识融合新闻生态，掌握融合新闻的策划理念、叙事语言和制作方法，同时将思政理念灌入案例教学的过程中，培育学生优良的思想政治情操与共情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社会统计方法及应用</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lang w:bidi="ar"/>
              </w:rPr>
              <w:t>统计学是一门关于大量数据如何进行搜集、整理和分析的方法论科学，它是统计学专业的一门专业基础课程，也是经济管理类各专业的一门核心课程，主要介绍如何运用统计方法对社会现象的总体特征和发展规律进行描述、分析。通过本课程的学习，将使学生在掌握认识客观世界的一般规律基础上进一步掌握认识客观世界的统计定量方法，并能熟练地将这些定量分析工具应用于社会现象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互联网与媒介传播理论</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lang w:bidi="ar"/>
              </w:rPr>
              <w:t>系统论述了网络与新媒体对人类社会发展的基本意义、基本功能；概述了网络与新媒体的基本概念、基本知识和基本观点；全方位阐述了网络与新媒体给政治、经济、社会、文化，特别是传媒业带来的变化、挑战与机遇</w:t>
            </w:r>
            <w:r>
              <w:rPr>
                <w:rFonts w:hint="eastAsia" w:ascii="仿宋_GB2312" w:hAnsi="仿宋_GB2312" w:eastAsia="仿宋_GB2312" w:cs="仿宋_GB2312"/>
                <w:color w:val="000000"/>
                <w:kern w:val="0"/>
                <w:sz w:val="21"/>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新媒体产品设计</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lang w:bidi="ar"/>
              </w:rPr>
              <w:t>移动互联网时代新媒体产品竞争激烈，有可持续性竞争力的新媒体产品在于将产品目标与目标用户需求完美结合，关注用户的使用体验，实现以用户为中心的设计。因此，重点讲述人机交互的基本概念和重要意义以及发展历程、软件系统的人机交互设计原则和方法、网络系统的人机交互设计原则和方法。要求学生掌握新媒体产品设计及其软件的基本概念、基本结构、工作原理及设计方法，最终了解和掌握其工作原理，具有初步的设计能力。学会使用设计类工具分析、设计，通过全面培养学生的分析、设计、使用能力，提高学生分析问题、解决问题的自主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r>
              <w:rPr>
                <w:rFonts w:hint="eastAsia" w:ascii="仿宋_GB2312" w:hAnsi="仿宋_GB2312" w:eastAsia="仿宋_GB2312" w:cs="仿宋_GB2312"/>
                <w:sz w:val="21"/>
                <w:szCs w:val="21"/>
                <w:highlight w:val="none"/>
                <w:vertAlign w:val="baseline"/>
                <w:lang w:val="en-US" w:eastAsia="zh-CN"/>
              </w:rPr>
              <w:t>10</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rPr>
              <w:t>短视频</w:t>
            </w:r>
            <w:r>
              <w:rPr>
                <w:rFonts w:hint="eastAsia" w:ascii="仿宋_GB2312" w:hAnsi="仿宋_GB2312" w:eastAsia="仿宋_GB2312" w:cs="仿宋_GB2312"/>
                <w:sz w:val="21"/>
                <w:szCs w:val="21"/>
                <w:highlight w:val="none"/>
                <w:vertAlign w:val="baseline"/>
                <w:lang w:val="en-US" w:eastAsia="zh-CN"/>
              </w:rPr>
              <w:t>创作与</w:t>
            </w:r>
            <w:r>
              <w:rPr>
                <w:rFonts w:hint="eastAsia" w:ascii="仿宋_GB2312" w:hAnsi="仿宋_GB2312" w:eastAsia="仿宋_GB2312" w:cs="仿宋_GB2312"/>
                <w:sz w:val="21"/>
                <w:szCs w:val="21"/>
                <w:highlight w:val="none"/>
                <w:vertAlign w:val="baseline"/>
              </w:rPr>
              <w:t>制作</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color w:val="000000"/>
                <w:kern w:val="0"/>
                <w:sz w:val="21"/>
                <w:szCs w:val="21"/>
                <w:lang w:bidi="ar"/>
              </w:rPr>
              <w:t>通过对短视频的实践拍摄，掌握摄像设备的基本使用技巧；能熟练控制镜头的角度、拍摄距离、焦距等运用，以视频的方式进行表达；学生通过实践不仅能够理解短视频拍摄的一般规律，而且能够自觉运用这些规律从事创作，独立完成短视频拍摄、商业广告拍摄等拍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网络编辑</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lang w:bidi="ar"/>
              </w:rPr>
              <w:t>本课程介绍网络新闻编辑的基本工作原理、工作流程和基本技术，是针对广告学专业的本科生开设的专业选修课</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通过本课程的教学，使学生了解网络新闻编辑的的性质、任务、研究对象，掌握网络新闻编辑的基本流程和业务技能</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包括网络新闻稿件的分析、选择、修改、制作等</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，理解网络新闻编辑工作的基本规律。主要内容</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网络新闻编辑学的研究方法、意义</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网络新闻业的发展脉络</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网络新闻编辑的主体、客体、受众、功能、技术环境</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网络新闻的编辑制作</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网络新闻版面设计</w:t>
            </w:r>
            <w:r>
              <w:rPr>
                <w:rFonts w:hint="eastAsia" w:ascii="仿宋_GB2312" w:hAnsi="仿宋_GB2312" w:eastAsia="仿宋_GB2312" w:cs="仿宋_GB2312"/>
                <w:color w:val="000000"/>
                <w:kern w:val="0"/>
                <w:sz w:val="21"/>
                <w:szCs w:val="21"/>
                <w:lang w:eastAsia="zh-CN" w:bidi="ar"/>
              </w:rPr>
              <w:t>；</w:t>
            </w:r>
            <w:r>
              <w:rPr>
                <w:rFonts w:hint="eastAsia" w:ascii="仿宋_GB2312" w:hAnsi="仿宋_GB2312" w:eastAsia="仿宋_GB2312" w:cs="仿宋_GB2312"/>
                <w:color w:val="000000"/>
                <w:kern w:val="0"/>
                <w:sz w:val="21"/>
                <w:szCs w:val="21"/>
                <w:lang w:bidi="ar"/>
              </w:rPr>
              <w:t>草根媒体和微博。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rPr>
              <w:t>非线性编辑</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color w:val="000000"/>
                <w:kern w:val="0"/>
                <w:sz w:val="21"/>
                <w:szCs w:val="21"/>
                <w:lang w:bidi="ar"/>
              </w:rPr>
              <w:t>从介绍非线性编辑软件Adobe Premiere Pro的应用、非线性编辑工艺流程以及当前主流非线性编辑系统的应用人手，通过对典型实例的讲解，详细介绍了当代影视创作中非线性编辑的核心技术。通过该课程的学习，理解影视剪辑的一般理论，掌握数字媒体的一般特征。掌握非线性编辑的一般理论。在此基础上，学习Adobe Premiere的窗口界面的组成，熟练操作Adobe Premiere，能够运用Adobe Premiere进行影视素材的组接、裁剪，制作高质量的动画特技，设计美观的字幕，熟练处理音频，完成高质量的声画同步。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媒介经营管理</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lang w:bidi="ar"/>
              </w:rPr>
              <w:t>随着我国媒介产业的市场化与产业化，媒介经营管理在新闻传播学专业的课程体系与结构中的地位越来越重要。《媒介经营与管理》是针对新闻传播学专业本科生和研究生编写的教材，分媒介经营、媒介管理、媒介创新三篇，共十八章，理论全面、案例丰富，体现了系统性、创新性和前沿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rPr>
              <w:t>网络直播</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color w:val="000000"/>
                <w:kern w:val="0"/>
                <w:sz w:val="21"/>
                <w:szCs w:val="21"/>
                <w:lang w:bidi="ar"/>
              </w:rPr>
              <w:t>通过对网络直播的实践运营，掌握直播的原理、平台、运营机制、直播技巧等；让学生在广泛了解不同直播形式和内容玩法的同时，能够掌握更多的直播定位技巧、流量分析能力、运营维护方法、设计创作技能等实践技能；学生通过实践不仅能够理解网络直播的基本方法，而且能够自觉运用这些方法从事运营，独立完成直播搭建、运营维护等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rPr>
              <w:t>新媒体写作</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color w:val="000000"/>
                <w:kern w:val="0"/>
                <w:sz w:val="21"/>
                <w:szCs w:val="21"/>
                <w:lang w:bidi="ar"/>
              </w:rPr>
              <w:t>新媒体写作以基于新媒体平台的写作基本原理、形态发展与方法技巧应用为主要教学内容。通过学习该课程，学生可以学习新媒体写作的理论原理和实践技巧，通过案例分析、实践操作和小组讨论培养并提升新媒体平台的写作能力，加深对新媒体内容生产和传播规律的认知。本课程主要围绕新媒体写作基本原理、写作基础知识、新媒体写作的主要类型及其写作方法和技巧、新媒体写作的政策法规和平台规则四个部分的内容展开。通过本课程的学习，学生可以在了解新媒体写作基本轮廓和分类的基础上，学习新媒体写作的一般流程、技巧和规律，培养和提升新媒体平台的写作能力，根据不同平台特征熟练开展相应类型的写作活动，加深对新媒体发展规律的认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rPr>
              <w:t>摄影与摄像</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color w:val="000000"/>
                <w:kern w:val="0"/>
                <w:sz w:val="21"/>
                <w:szCs w:val="21"/>
                <w:lang w:bidi="ar"/>
              </w:rPr>
              <w:t>通过对单反和摄像机的基本操作实验，让学生熟悉设备的基础操作。通过人像、风景、录音合成、场面调度拍摄实验，让学生掌握基本的拍摄内容，完成行业要去的基本操作，掌握行业的技术。综合实验目的是让学生对所学知识融会贯通，而且能够自觉运用艺术规律从事创作，独立完成摄影与摄像工作任务、人像拍摄、新闻拍摄和短视频拍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数据挖掘方法与应用</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rPr>
              <w:t>本书主要根据作者近几年在清华大学面向研究生和本科生开设的“数据挖掘：方法与应用”课程的教学实践与积累，参考近几年国外著名大学相关课程的教学体系，系统的介绍数据挖掘的基本概念和基本原理方法；结合一些典型的应用实例展示用数据挖掘的思维方法求解问题的一般性模式与思路。</w:t>
            </w: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sz w:val="24"/>
          <w:szCs w:val="24"/>
          <w:highlight w:val="none"/>
        </w:rPr>
      </w:pP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p>
    <w:p>
      <w:pPr>
        <w:pStyle w:val="3"/>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rPr>
          <w:rFonts w:ascii="黑体" w:hAnsi="黑体" w:eastAsia="黑体"/>
          <w:sz w:val="28"/>
          <w:szCs w:val="28"/>
          <w:highlight w:val="none"/>
        </w:rPr>
      </w:pPr>
    </w:p>
    <w:p>
      <w:pPr>
        <w:rPr>
          <w:rFonts w:ascii="黑体" w:hAnsi="黑体" w:eastAsia="黑体"/>
          <w:sz w:val="28"/>
          <w:szCs w:val="28"/>
          <w:highlight w:val="none"/>
        </w:rPr>
      </w:pPr>
      <w:r>
        <w:rPr>
          <w:rFonts w:hint="eastAsia" w:ascii="黑体" w:hAnsi="黑体" w:eastAsia="黑体"/>
          <w:sz w:val="28"/>
          <w:szCs w:val="28"/>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24"/>
          <w:highlight w:val="none"/>
          <w:lang w:val="en-US" w:eastAsia="zh-CN"/>
        </w:rPr>
      </w:pPr>
      <w:bookmarkStart w:id="0" w:name="_Hlk127645504"/>
      <w:r>
        <w:rPr>
          <w:rFonts w:hint="eastAsia" w:ascii="仿宋_GB2312" w:hAnsi="仿宋_GB2312" w:eastAsia="仿宋_GB2312" w:cs="仿宋_GB2312"/>
          <w:sz w:val="24"/>
          <w:szCs w:val="24"/>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bookmarkEnd w:id="0"/>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1.学生在基本学制2.5年的专业人才培养方案所规定的</w:t>
      </w:r>
      <w:r>
        <w:rPr>
          <w:rFonts w:ascii="仿宋_GB2312" w:hAnsi="仿宋_GB2312" w:eastAsia="仿宋_GB2312" w:cs="仿宋_GB2312"/>
          <w:sz w:val="24"/>
          <w:szCs w:val="24"/>
        </w:rPr>
        <w:t>1620</w:t>
      </w:r>
      <w:r>
        <w:rPr>
          <w:rFonts w:hint="eastAsia" w:ascii="仿宋_GB2312" w:hAnsi="仿宋_GB2312" w:eastAsia="仿宋_GB2312" w:cs="仿宋_GB2312"/>
          <w:sz w:val="24"/>
          <w:szCs w:val="24"/>
        </w:rPr>
        <w:t>学时</w:t>
      </w:r>
      <w:r>
        <w:rPr>
          <w:rFonts w:ascii="仿宋_GB2312" w:hAnsi="仿宋_GB2312" w:eastAsia="仿宋_GB2312" w:cs="仿宋_GB2312"/>
          <w:sz w:val="24"/>
          <w:szCs w:val="24"/>
        </w:rPr>
        <w:t>90</w:t>
      </w:r>
      <w:r>
        <w:rPr>
          <w:rFonts w:hint="eastAsia" w:ascii="仿宋_GB2312" w:hAnsi="仿宋_GB2312" w:eastAsia="仿宋_GB2312" w:cs="仿宋_GB2312"/>
          <w:sz w:val="24"/>
          <w:szCs w:val="24"/>
        </w:rPr>
        <w:t>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2.取得本科毕业证书、全省学位外语考试合格、毕业论文（设计）良好以上，符合我校《成人高等教育学士学位授予工作实施细则》有关规定者，可授予文学学士学位证书。</w:t>
      </w:r>
    </w:p>
    <w:p>
      <w:pPr>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w:t>
      </w:r>
      <w:r>
        <w:rPr>
          <w:rFonts w:hint="eastAsia" w:ascii="仿宋_GB2312" w:hAnsi="仿宋_GB2312" w:eastAsia="仿宋_GB2312" w:cs="仿宋_GB2312"/>
          <w:sz w:val="24"/>
          <w:szCs w:val="24"/>
          <w:highlight w:val="none"/>
          <w:lang w:val="en-US" w:eastAsia="zh-CN"/>
        </w:rPr>
        <w:t>90</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color w:val="000000"/>
          <w:kern w:val="0"/>
          <w:sz w:val="24"/>
          <w:szCs w:val="24"/>
          <w:highlight w:val="none"/>
          <w:lang w:val="en-US" w:eastAsia="zh-CN" w:bidi="ar"/>
        </w:rPr>
        <w:t>通识教育课程28学分，</w:t>
      </w:r>
      <w:r>
        <w:rPr>
          <w:rFonts w:hint="eastAsia" w:ascii="仿宋_GB2312" w:hAnsi="仿宋_GB2312" w:eastAsia="仿宋_GB2312" w:cs="仿宋_GB2312"/>
          <w:sz w:val="24"/>
          <w:szCs w:val="24"/>
          <w:highlight w:val="none"/>
          <w:lang w:val="en-US" w:eastAsia="zh-CN"/>
        </w:rPr>
        <w:t>学科基础课程17学分，</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程31学分，综合实践课程</w:t>
      </w: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学分。所有修读课程均须通过考核，考核及格以上者方能取得相应学分。</w:t>
      </w:r>
    </w:p>
    <w:p>
      <w:pPr>
        <w:pStyle w:val="2"/>
        <w:rPr>
          <w:rFonts w:hint="eastAsia" w:ascii="仿宋_GB2312" w:hAnsi="仿宋_GB2312" w:eastAsia="仿宋_GB2312" w:cs="仿宋_GB2312"/>
          <w:sz w:val="24"/>
          <w:szCs w:val="24"/>
          <w:highlight w:val="none"/>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表四：网络与新媒体</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17</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14</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90</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17.5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19.5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21.5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20.5</w:t>
            </w:r>
            <w:r>
              <w:rPr>
                <w:rFonts w:hint="default"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21.7</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21.7</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25.0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19.4</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12.2</w:t>
            </w:r>
          </w:p>
        </w:tc>
      </w:tr>
    </w:tbl>
    <w:p>
      <w:pPr>
        <w:pStyle w:val="2"/>
        <w:ind w:left="0" w:leftChars="0" w:firstLine="0" w:firstLineChars="0"/>
        <w:rPr>
          <w:rFonts w:hint="eastAsia" w:ascii="仿宋_GB2312" w:hAnsi="仿宋_GB2312" w:eastAsia="仿宋_GB2312" w:cs="仿宋_GB2312"/>
          <w:sz w:val="24"/>
          <w:szCs w:val="24"/>
          <w:highlight w:val="none"/>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表五：网络与新媒体</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1"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bookmarkEnd w:id="1"/>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8"/>
                <w:szCs w:val="18"/>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8"/>
                <w:szCs w:val="1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8"/>
                <w:szCs w:val="18"/>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lang w:val="en-US" w:eastAsia="zh-CN"/>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0302072</w:t>
            </w:r>
          </w:p>
        </w:tc>
        <w:tc>
          <w:tcPr>
            <w:tcW w:w="3070"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新闻学概论</w:t>
            </w:r>
            <w:r>
              <w:rPr>
                <w:rFonts w:hint="eastAsia" w:ascii="宋体" w:hAnsi="宋体" w:cs="宋体"/>
                <w:i w:val="0"/>
                <w:iCs w:val="0"/>
                <w:color w:val="auto"/>
                <w:kern w:val="0"/>
                <w:sz w:val="18"/>
                <w:szCs w:val="18"/>
                <w:u w:val="none"/>
                <w:lang w:val="en-US" w:eastAsia="zh-CN" w:bidi="ar"/>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0502102</w:t>
            </w:r>
          </w:p>
        </w:tc>
        <w:tc>
          <w:tcPr>
            <w:tcW w:w="3070"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新媒体概论</w:t>
            </w:r>
            <w:r>
              <w:rPr>
                <w:rFonts w:hint="eastAsia" w:ascii="宋体" w:hAnsi="宋体" w:cs="宋体"/>
                <w:i w:val="0"/>
                <w:iCs w:val="0"/>
                <w:color w:val="auto"/>
                <w:kern w:val="0"/>
                <w:sz w:val="18"/>
                <w:szCs w:val="18"/>
                <w:u w:val="none"/>
                <w:lang w:val="en-US" w:eastAsia="zh-CN" w:bidi="ar"/>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0300022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基础写作</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0503012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传播学概论</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0327012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社会学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0502412</w:t>
            </w:r>
          </w:p>
        </w:tc>
        <w:tc>
          <w:tcPr>
            <w:tcW w:w="3070"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马克思主义新闻观</w:t>
            </w:r>
            <w:r>
              <w:rPr>
                <w:rFonts w:hint="eastAsia" w:ascii="宋体" w:hAnsi="宋体" w:cs="宋体"/>
                <w:i w:val="0"/>
                <w:iCs w:val="0"/>
                <w:color w:val="auto"/>
                <w:kern w:val="0"/>
                <w:sz w:val="18"/>
                <w:szCs w:val="18"/>
                <w:u w:val="none"/>
                <w:lang w:val="en-US" w:eastAsia="zh-CN" w:bidi="ar"/>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0527262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数字媒体技术</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0300342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新闻传播学研究方法</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0502132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媒介伦理与法规</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0502892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新媒体写作</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0302083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摄影与摄像</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0302902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数据挖掘方法与应用</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0302912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新媒体运营Ⅰ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0527092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网络数据分析与应用</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0302922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新媒体运营Ⅱ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0512822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融合新闻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0512102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社会统计方法及应用</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0512202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互联网与媒介传播理论</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default" w:ascii="宋体" w:hAnsi="宋体" w:eastAsia="宋体" w:cs="宋体"/>
                <w:sz w:val="18"/>
                <w:szCs w:val="18"/>
                <w:lang w:val="en-US" w:eastAsia="zh-CN"/>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lang w:val="en-US" w:eastAsia="zh-CN"/>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0527322</w:t>
            </w:r>
          </w:p>
        </w:tc>
        <w:tc>
          <w:tcPr>
            <w:tcW w:w="3070"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新媒体产品设计</w:t>
            </w:r>
            <w:r>
              <w:rPr>
                <w:rFonts w:hint="eastAsia" w:ascii="宋体" w:hAnsi="宋体" w:cs="宋体"/>
                <w:i w:val="0"/>
                <w:iCs w:val="0"/>
                <w:color w:val="auto"/>
                <w:kern w:val="0"/>
                <w:sz w:val="18"/>
                <w:szCs w:val="18"/>
                <w:u w:val="none"/>
                <w:lang w:val="en-US" w:eastAsia="zh-CN" w:bidi="ar"/>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0512102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短视频创作与制作</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0503082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网络编辑</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0512112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非线性编辑</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0502052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媒介经营管理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0512002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网络直播</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1620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1388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92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248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405</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315</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6"/>
                <w:szCs w:val="16"/>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79.0</w:t>
            </w:r>
            <w:bookmarkStart w:id="2" w:name="_GoBack"/>
            <w:bookmarkEnd w:id="2"/>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5.7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15.3</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25.0</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19.4</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12.2</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网络与新媒体</w:t>
      </w:r>
      <w:r>
        <w:rPr>
          <w:rFonts w:hint="eastAsia" w:ascii="宋体" w:hAnsi="宋体" w:eastAsia="宋体" w:cs="宋体"/>
          <w:sz w:val="21"/>
          <w:szCs w:val="21"/>
        </w:rPr>
        <w:t>教学进程安排表”，打“√”的为该门课的考核方式</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ascii="宋体" w:hAnsi="宋体" w:eastAsia="宋体" w:cs="宋体"/>
          <w:sz w:val="21"/>
          <w:szCs w:val="21"/>
          <w:lang w:val="en-US" w:eastAsia="zh-CN"/>
        </w:rPr>
        <w:t>3.思想政治·限选四史类必修课2学分：党史、新中国史、改革开放史、社会主义发展史。</w:t>
      </w: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color w:val="000000"/>
          <w:kern w:val="0"/>
          <w:sz w:val="24"/>
          <w:szCs w:val="24"/>
        </w:rPr>
        <w:t>规范教材选用，增强教材育人功能。本专业将选择或开发适应学习者在职学习需要、深度广度与人才培养目标相匹配、满足交互式学习要求的高质量教材。</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color w:val="000000"/>
          <w:kern w:val="0"/>
          <w:sz w:val="24"/>
          <w:szCs w:val="24"/>
        </w:rPr>
        <w:t>专业秉承“高水平师资、高资金投入、高素质培养”的建设思路。聘请著名新媒体专家谭天教授为学科带头人，知名社会网络专家郭玉锦教授为专业负责人。目前，本专业有专任教师</w:t>
      </w:r>
      <w:r>
        <w:rPr>
          <w:rFonts w:ascii="仿宋_GB2312" w:hAnsi="仿宋_GB2312" w:eastAsia="仿宋_GB2312" w:cs="仿宋_GB2312"/>
          <w:color w:val="000000"/>
          <w:kern w:val="0"/>
          <w:sz w:val="24"/>
          <w:szCs w:val="24"/>
        </w:rPr>
        <w:t>20</w:t>
      </w:r>
      <w:r>
        <w:rPr>
          <w:rFonts w:hint="eastAsia" w:ascii="仿宋_GB2312" w:hAnsi="仿宋_GB2312" w:eastAsia="仿宋_GB2312" w:cs="仿宋_GB2312"/>
          <w:color w:val="000000"/>
          <w:kern w:val="0"/>
          <w:sz w:val="24"/>
          <w:szCs w:val="24"/>
        </w:rPr>
        <w:t>人（含特聘教授2人），其中教授</w:t>
      </w:r>
      <w:r>
        <w:rPr>
          <w:rFonts w:ascii="仿宋_GB2312" w:hAnsi="仿宋_GB2312" w:eastAsia="仿宋_GB2312" w:cs="仿宋_GB2312"/>
          <w:color w:val="000000"/>
          <w:kern w:val="0"/>
          <w:sz w:val="24"/>
          <w:szCs w:val="24"/>
        </w:rPr>
        <w:t>4</w:t>
      </w:r>
      <w:r>
        <w:rPr>
          <w:rFonts w:hint="eastAsia" w:ascii="仿宋_GB2312" w:hAnsi="仿宋_GB2312" w:eastAsia="仿宋_GB2312" w:cs="仿宋_GB2312"/>
          <w:color w:val="000000"/>
          <w:kern w:val="0"/>
          <w:sz w:val="24"/>
          <w:szCs w:val="24"/>
        </w:rPr>
        <w:t>人，副教授</w:t>
      </w:r>
      <w:r>
        <w:rPr>
          <w:rFonts w:ascii="仿宋_GB2312" w:hAnsi="仿宋_GB2312" w:eastAsia="仿宋_GB2312" w:cs="仿宋_GB2312"/>
          <w:color w:val="000000"/>
          <w:kern w:val="0"/>
          <w:sz w:val="24"/>
          <w:szCs w:val="24"/>
        </w:rPr>
        <w:t>3</w:t>
      </w:r>
      <w:r>
        <w:rPr>
          <w:rFonts w:hint="eastAsia" w:ascii="仿宋_GB2312" w:hAnsi="仿宋_GB2312" w:eastAsia="仿宋_GB2312" w:cs="仿宋_GB2312"/>
          <w:color w:val="000000"/>
          <w:kern w:val="0"/>
          <w:sz w:val="24"/>
          <w:szCs w:val="24"/>
        </w:rPr>
        <w:t>人，博士</w:t>
      </w:r>
      <w:r>
        <w:rPr>
          <w:rFonts w:ascii="仿宋_GB2312" w:hAnsi="仿宋_GB2312" w:eastAsia="仿宋_GB2312" w:cs="仿宋_GB2312"/>
          <w:color w:val="000000"/>
          <w:kern w:val="0"/>
          <w:sz w:val="24"/>
          <w:szCs w:val="24"/>
        </w:rPr>
        <w:t>4</w:t>
      </w:r>
      <w:r>
        <w:rPr>
          <w:rFonts w:hint="eastAsia" w:ascii="仿宋_GB2312" w:hAnsi="仿宋_GB2312" w:eastAsia="仿宋_GB2312" w:cs="仿宋_GB2312"/>
          <w:color w:val="000000"/>
          <w:kern w:val="0"/>
          <w:sz w:val="24"/>
          <w:szCs w:val="24"/>
        </w:rPr>
        <w:t>人，讲师</w:t>
      </w:r>
      <w:r>
        <w:rPr>
          <w:rFonts w:ascii="仿宋_GB2312" w:hAnsi="仿宋_GB2312" w:eastAsia="仿宋_GB2312" w:cs="仿宋_GB2312"/>
          <w:color w:val="000000"/>
          <w:kern w:val="0"/>
          <w:sz w:val="24"/>
          <w:szCs w:val="24"/>
        </w:rPr>
        <w:t>9</w:t>
      </w:r>
      <w:r>
        <w:rPr>
          <w:rFonts w:hint="eastAsia" w:ascii="仿宋_GB2312" w:hAnsi="仿宋_GB2312" w:eastAsia="仿宋_GB2312" w:cs="仿宋_GB2312"/>
          <w:color w:val="000000"/>
          <w:kern w:val="0"/>
          <w:sz w:val="24"/>
          <w:szCs w:val="24"/>
        </w:rPr>
        <w:t>人，“双师型”教师</w:t>
      </w:r>
      <w:r>
        <w:rPr>
          <w:rFonts w:ascii="仿宋_GB2312" w:hAnsi="仿宋_GB2312" w:eastAsia="仿宋_GB2312" w:cs="仿宋_GB2312"/>
          <w:color w:val="000000"/>
          <w:kern w:val="0"/>
          <w:sz w:val="24"/>
          <w:szCs w:val="24"/>
        </w:rPr>
        <w:t>4</w:t>
      </w:r>
      <w:r>
        <w:rPr>
          <w:rFonts w:hint="eastAsia" w:ascii="仿宋_GB2312" w:hAnsi="仿宋_GB2312" w:eastAsia="仿宋_GB2312" w:cs="仿宋_GB2312"/>
          <w:color w:val="000000"/>
          <w:kern w:val="0"/>
          <w:sz w:val="24"/>
          <w:szCs w:val="24"/>
        </w:rPr>
        <w:t>名。专任教师共发表论文近</w:t>
      </w:r>
      <w:r>
        <w:rPr>
          <w:rFonts w:ascii="仿宋_GB2312" w:hAnsi="仿宋_GB2312" w:eastAsia="仿宋_GB2312" w:cs="仿宋_GB2312"/>
          <w:color w:val="000000"/>
          <w:kern w:val="0"/>
          <w:sz w:val="24"/>
          <w:szCs w:val="24"/>
        </w:rPr>
        <w:t>120</w:t>
      </w:r>
      <w:r>
        <w:rPr>
          <w:rFonts w:hint="eastAsia" w:ascii="仿宋_GB2312" w:hAnsi="仿宋_GB2312" w:eastAsia="仿宋_GB2312" w:cs="仿宋_GB2312"/>
          <w:color w:val="000000"/>
          <w:kern w:val="0"/>
          <w:sz w:val="24"/>
          <w:szCs w:val="24"/>
        </w:rPr>
        <w:t>篇，获立国家社科基金项目1项、广东省重点课题</w:t>
      </w:r>
      <w:r>
        <w:rPr>
          <w:rFonts w:ascii="仿宋_GB2312" w:hAnsi="仿宋_GB2312" w:eastAsia="仿宋_GB2312" w:cs="仿宋_GB2312"/>
          <w:color w:val="000000"/>
          <w:kern w:val="0"/>
          <w:sz w:val="24"/>
          <w:szCs w:val="24"/>
        </w:rPr>
        <w:t>2</w:t>
      </w:r>
      <w:r>
        <w:rPr>
          <w:rFonts w:hint="eastAsia" w:ascii="仿宋_GB2312" w:hAnsi="仿宋_GB2312" w:eastAsia="仿宋_GB2312" w:cs="仿宋_GB2312"/>
          <w:color w:val="000000"/>
          <w:kern w:val="0"/>
          <w:sz w:val="24"/>
          <w:szCs w:val="24"/>
        </w:rPr>
        <w:t>项，主持省厅级项目</w:t>
      </w:r>
      <w:r>
        <w:rPr>
          <w:rFonts w:ascii="仿宋_GB2312" w:hAnsi="仿宋_GB2312" w:eastAsia="仿宋_GB2312" w:cs="仿宋_GB2312"/>
          <w:color w:val="000000"/>
          <w:kern w:val="0"/>
          <w:sz w:val="24"/>
          <w:szCs w:val="24"/>
        </w:rPr>
        <w:t>15</w:t>
      </w:r>
      <w:r>
        <w:rPr>
          <w:rFonts w:hint="eastAsia" w:ascii="仿宋_GB2312" w:hAnsi="仿宋_GB2312" w:eastAsia="仿宋_GB2312" w:cs="仿宋_GB2312"/>
          <w:color w:val="000000"/>
          <w:kern w:val="0"/>
          <w:sz w:val="24"/>
          <w:szCs w:val="24"/>
        </w:rPr>
        <w:t>项，主持校级项目</w:t>
      </w:r>
      <w:r>
        <w:rPr>
          <w:rFonts w:ascii="仿宋_GB2312" w:hAnsi="仿宋_GB2312" w:eastAsia="仿宋_GB2312" w:cs="仿宋_GB2312"/>
          <w:color w:val="000000"/>
          <w:kern w:val="0"/>
          <w:sz w:val="24"/>
          <w:szCs w:val="24"/>
        </w:rPr>
        <w:t>12</w:t>
      </w:r>
      <w:r>
        <w:rPr>
          <w:rFonts w:hint="eastAsia" w:ascii="仿宋_GB2312" w:hAnsi="仿宋_GB2312" w:eastAsia="仿宋_GB2312" w:cs="仿宋_GB2312"/>
          <w:color w:val="000000"/>
          <w:kern w:val="0"/>
          <w:sz w:val="24"/>
          <w:szCs w:val="24"/>
        </w:rPr>
        <w:t>项，参与国家省厅级项目6项；主编和参编《中国新媒体发展报告（2018）</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rPr>
        <w:t>2019全国短视频创意发展研究报告</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rPr>
        <w:t>新媒体运营》等。</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color w:val="000000"/>
          <w:kern w:val="0"/>
          <w:sz w:val="24"/>
          <w:szCs w:val="24"/>
        </w:rPr>
        <w:t xml:space="preserve">斥资近千万打造大传播实验教学平台，其设备和实验条件目前居华南地区“一流”水平，平台可同时容纳 300 余人进行实战实验实训，主要由新闻演播综合实验室、录音实验室、摄影实验室、网络资源制作实验室、新媒体研究实验室等6个教学实验室组成，为网络与新媒体专业的人才培养及教学质量提供了可靠的保障。成立院级新媒体中心，构建一网（网站）、两微（微博、微信）、四号（头条号、抖音号、快手号、B站号）的新媒体传播平台，为学生提供校内新媒体运营综合实训，如官方微信公众号建立两年半来，发表、转载各类推文 </w:t>
      </w:r>
      <w:r>
        <w:rPr>
          <w:rFonts w:ascii="仿宋_GB2312" w:hAnsi="仿宋_GB2312" w:eastAsia="仿宋_GB2312" w:cs="仿宋_GB2312"/>
          <w:color w:val="000000"/>
          <w:kern w:val="0"/>
          <w:sz w:val="24"/>
          <w:szCs w:val="24"/>
        </w:rPr>
        <w:t>15</w:t>
      </w:r>
      <w:r>
        <w:rPr>
          <w:rFonts w:hint="eastAsia" w:ascii="仿宋_GB2312" w:hAnsi="仿宋_GB2312" w:eastAsia="仿宋_GB2312" w:cs="仿宋_GB2312"/>
          <w:color w:val="000000"/>
          <w:kern w:val="0"/>
          <w:sz w:val="24"/>
          <w:szCs w:val="24"/>
        </w:rPr>
        <w:t>00 余篇。与增城广播电视台、高州市融媒体中心、广东清博大数据科技有限公司、广州红象文化传媒有限公司、红火火（广州）网络科技有限公司、易简传媒集团嘉晋广告有限公司等10余家媒体、企业建立了深度合作关系，为学生实习实训提供校外实践基地。鼓励并组织学生参加大学生新媒体创意大赛、大广赛、学院奖及“互联网+”大学生创新创业大赛等学科比赛。2017级吴洁仪同学作品荣获第五届中国数据新闻大赛三等奖。2017 级刘馨怡、周芷铭等同学在第四届“国青杯”全国高校艺术设计作品大赛中获得一、二、三等奖共 14 项。2018级龙镕山同学的作品《“彩”不重Young》获得2019第十一届全国大学生广告艺术大赛广东赛区二等奖。2018级刘惠宝、黄夏蕊和卫师华同学参与项目获得第六届中国国际“互联网+”大学生创新创业大赛广东省分赛初创组银奖。2018级吴淑瑜、李海彤荣获第八届大学生新媒体创意大赛三等奖。48名学生参加头条学院为期两个月的新媒体训练营，最终雷萍萍、周颖熙、丁晓飞和杨雯4位同学获得优秀纸质证书，8.3%的获证比例明显高于全国同期学员5%的比例；张嘉亮、赖诗睿等24位同学获得电子版证书，50%的获证比例远远高于全国同期学员20%的比例。</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sz w:val="24"/>
          <w:szCs w:val="24"/>
        </w:rPr>
        <w:t>学校建有馆舍面积2.907万平方米的图书馆，藏有纸质图书258万册，其中中文图247.2660万册、外文图书4.5801万册、期刊合订本2.2878万册。图书馆订有现刊830种，其中期刊759种（含外文期刊24种）；报纸71种（含外文报纸3种）。购买超星数字图书馆电子图书31万种，清华同方中国知网（CNKI）七个专辑和中国财经教育资源共享平台。清华同方中国知网（CNKI）七个专辑其中包含中国学术期刊论文、重要会议论文、博、硕士论文、重要报纸全文等约5700多万篇。学校建有校园网，可满足学生对网上文献资源的需求。</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专业依据国家专业教学标准，明确教学管理和教学质量诊断与改进制度机制等任务。本专业以产出为导向制定人才培养方案。坚持以学生为本的原则，严格按照人才培养方案开展各项教育教学工作。有效、合理、严格地推进课程实施、教材甄选、教研教改和质量监控等。</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第一，有效实施课程。根据学生特点和学科知识结构，有条不紊地按照人才培养方案开展各门公共课程、专业课与实践课程。</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第二，合理甄选教材。按照各项要求，仔细合理地甄选教材。</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第三，积极开展教研教改。教师定期参加教研教改活动，开展教学理论研究，按照学科知识结构及学生的特点及时充实教学内容。</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rPr>
        <w:t>第四，严格质量监控。在教学计划执行过程中，实施科学管理、严格监督的教学质量保障措施；主要通过教学常规检查，督导听课、领导听课和教师相互听课，学生代表座谈会及学生评教等方式规范教学过程，达到严格监控教学运行质量的目的。</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6A76DF5"/>
    <w:rsid w:val="13104FB1"/>
    <w:rsid w:val="13354C72"/>
    <w:rsid w:val="1B78004C"/>
    <w:rsid w:val="1DC2273E"/>
    <w:rsid w:val="24824801"/>
    <w:rsid w:val="2489536D"/>
    <w:rsid w:val="2D336B82"/>
    <w:rsid w:val="311E43B8"/>
    <w:rsid w:val="3E071112"/>
    <w:rsid w:val="3FCA42CF"/>
    <w:rsid w:val="46832009"/>
    <w:rsid w:val="4B3228DB"/>
    <w:rsid w:val="6BC45A73"/>
    <w:rsid w:val="73A4137A"/>
    <w:rsid w:val="7BD02624"/>
    <w:rsid w:val="7CF61AD3"/>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 w:type="paragraph" w:customStyle="1" w:styleId="31">
    <w:name w:val="正文2"/>
    <w:basedOn w:val="1"/>
    <w:qFormat/>
    <w:uiPriority w:val="0"/>
    <w:pPr>
      <w:spacing w:line="360" w:lineRule="auto"/>
      <w:ind w:firstLine="200" w:firstLineChars="200"/>
    </w:pPr>
    <w:rPr>
      <w:rFonts w:ascii="Times New Roman" w:hAnsi="Times New Roman" w:cs="黑体"/>
      <w:sz w:val="2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15</Pages>
  <Words>11995</Words>
  <Characters>12750</Characters>
  <Lines>33</Lines>
  <Paragraphs>9</Paragraphs>
  <TotalTime>1</TotalTime>
  <ScaleCrop>false</ScaleCrop>
  <LinksUpToDate>false</LinksUpToDate>
  <CharactersWithSpaces>12823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2023-06-27T01:42:06Z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4F17A26BEC6C4A46BAF6C8DCFFC9CC76_13</vt:lpwstr>
  </property>
</Properties>
</file>