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电子商务</w:t>
      </w:r>
      <w:r>
        <w:rPr>
          <w:rFonts w:hint="eastAsia" w:ascii="华文中宋" w:hAnsi="华文中宋" w:eastAsia="华文中宋" w:cs="华文中宋"/>
          <w:sz w:val="44"/>
          <w:szCs w:val="44"/>
        </w:rPr>
        <w:t>专业人才培养方案</w:t>
      </w:r>
    </w:p>
    <w:p>
      <w:pPr>
        <w:pStyle w:val="13"/>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2" w:firstLineChars="200"/>
        <w:textAlignment w:val="auto"/>
        <w:rPr>
          <w:rFonts w:ascii="黑体" w:hAnsi="黑体" w:eastAsia="黑体"/>
          <w:sz w:val="24"/>
          <w:szCs w:val="24"/>
        </w:rPr>
      </w:pPr>
      <w:r>
        <w:rPr>
          <w:rFonts w:hint="eastAsia" w:ascii="黑体" w:hAnsi="黑体" w:eastAsia="黑体"/>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电子商务</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eastAsia="zh-CN"/>
        </w:rPr>
        <w:t>电子商务</w:t>
      </w:r>
      <w:r>
        <w:rPr>
          <w:rFonts w:hint="eastAsia" w:ascii="仿宋_GB2312" w:hAnsi="仿宋_GB2312" w:eastAsia="仿宋_GB2312" w:cs="仿宋_GB2312"/>
          <w:sz w:val="24"/>
          <w:szCs w:val="24"/>
          <w:highlight w:val="none"/>
          <w:lang w:val="en-US" w:eastAsia="zh-CN"/>
        </w:rPr>
        <w:t>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eastAsia="zh-CN"/>
        </w:rPr>
        <w:t>120801</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val="en-US" w:eastAsia="zh-CN"/>
        </w:rPr>
        <w:t xml:space="preserve">管理学学士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2" w:firstLineChars="200"/>
        <w:textAlignment w:val="auto"/>
        <w:rPr>
          <w:rFonts w:ascii="黑体" w:hAnsi="黑体" w:eastAsia="黑体"/>
          <w:sz w:val="24"/>
          <w:szCs w:val="24"/>
          <w:highlight w:val="none"/>
        </w:rPr>
      </w:pPr>
      <w:r>
        <w:rPr>
          <w:rFonts w:hint="eastAsia" w:ascii="黑体" w:hAnsi="黑体" w:eastAsia="黑体"/>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2" w:firstLineChars="200"/>
        <w:textAlignment w:val="auto"/>
        <w:rPr>
          <w:rFonts w:ascii="黑体" w:hAnsi="黑体" w:eastAsia="黑体"/>
          <w:sz w:val="24"/>
          <w:szCs w:val="24"/>
          <w:highlight w:val="none"/>
        </w:rPr>
      </w:pPr>
      <w:r>
        <w:rPr>
          <w:rFonts w:hint="eastAsia" w:ascii="黑体" w:hAnsi="黑体" w:eastAsia="黑体"/>
          <w:sz w:val="24"/>
          <w:szCs w:val="24"/>
          <w:highlight w:val="none"/>
        </w:rPr>
        <w:t>培养目标与</w:t>
      </w:r>
      <w:r>
        <w:rPr>
          <w:rFonts w:hint="eastAsia" w:ascii="黑体" w:hAnsi="黑体" w:eastAsia="黑体"/>
          <w:sz w:val="24"/>
          <w:szCs w:val="24"/>
          <w:highlight w:val="none"/>
          <w:lang w:val="en-US" w:eastAsia="zh-CN"/>
        </w:rPr>
        <w:t>培养</w:t>
      </w:r>
      <w:r>
        <w:rPr>
          <w:rFonts w:hint="eastAsia" w:ascii="黑体" w:hAnsi="黑体" w:eastAsia="黑体"/>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sz w:val="24"/>
          <w:szCs w:val="24"/>
        </w:rPr>
        <w:t>本专业培养德智体美劳全面发展</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适应</w:t>
      </w:r>
      <w:r>
        <w:rPr>
          <w:rFonts w:hint="eastAsia" w:ascii="仿宋_GB2312" w:hAnsi="仿宋_GB2312" w:eastAsia="仿宋_GB2312" w:cs="仿宋_GB2312"/>
          <w:sz w:val="24"/>
          <w:szCs w:val="24"/>
          <w:lang w:val="en-US" w:eastAsia="zh-CN"/>
        </w:rPr>
        <w:t>粤港澳大湾区</w:t>
      </w:r>
      <w:r>
        <w:rPr>
          <w:rFonts w:hint="eastAsia" w:ascii="仿宋_GB2312" w:hAnsi="仿宋_GB2312" w:eastAsia="仿宋_GB2312" w:cs="仿宋_GB2312"/>
          <w:sz w:val="24"/>
          <w:szCs w:val="24"/>
        </w:rPr>
        <w:t>经济社会发展需要，掌握现代管理、信息经济、信息技术和电子商务服务综合知识理论和基本技能</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具备现代社会商务运营、管理、互联网创新创业及电子商务系统设计与开发能力</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能够在政府部门、企事业单位、</w:t>
      </w:r>
      <w:r>
        <w:rPr>
          <w:rFonts w:hint="eastAsia" w:ascii="仿宋_GB2312" w:hAnsi="仿宋_GB2312" w:eastAsia="仿宋_GB2312" w:cs="仿宋_GB2312"/>
          <w:sz w:val="24"/>
          <w:szCs w:val="24"/>
          <w:lang w:val="en-US" w:eastAsia="zh-CN"/>
        </w:rPr>
        <w:t>互联网</w:t>
      </w:r>
      <w:r>
        <w:rPr>
          <w:rFonts w:hint="eastAsia" w:ascii="仿宋_GB2312" w:hAnsi="仿宋_GB2312" w:eastAsia="仿宋_GB2312" w:cs="仿宋_GB2312"/>
          <w:sz w:val="24"/>
          <w:szCs w:val="24"/>
        </w:rPr>
        <w:t>公司、咨询公司等从事商业网站网页设计、网站建设维护、网络营销、活动策划、平台运营、网络客服等方面的高素质复合型、应用创新型人才。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1.素质要求</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（1）具备较高的思想政治素质和良好的道德素养、人文素养、科学素养及职业素养；</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（2）具备较高的网络文明素养、电子商务诚信与信用素养、信息安全与保密素养；</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（3）具备良好的人际沟通素质和团队合作素质；</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（4）具备国际化视野和基本的创新精神及创业意识。</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2.知识要求</w:t>
      </w:r>
    </w:p>
    <w:p>
      <w:pPr>
        <w:pageBreakBefore w:val="0"/>
        <w:widowControl w:val="0"/>
        <w:kinsoku/>
        <w:wordWrap/>
        <w:overflowPunct/>
        <w:topLinePunct w:val="0"/>
        <w:autoSpaceDE/>
        <w:autoSpaceDN/>
        <w:bidi w:val="0"/>
        <w:spacing w:line="50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（1）掌握数学、自然科学、社会科学和人文学科等通识类相关知识；</w:t>
      </w:r>
    </w:p>
    <w:p>
      <w:pPr>
        <w:pageBreakBefore w:val="0"/>
        <w:widowControl w:val="0"/>
        <w:kinsoku/>
        <w:wordWrap/>
        <w:overflowPunct/>
        <w:topLinePunct w:val="0"/>
        <w:autoSpaceDE/>
        <w:autoSpaceDN/>
        <w:bidi w:val="0"/>
        <w:spacing w:line="50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（2）掌握现代管理、网络经济和信息技术的基础理论和专业知识；</w:t>
      </w:r>
    </w:p>
    <w:p>
      <w:pPr>
        <w:pageBreakBefore w:val="0"/>
        <w:widowControl w:val="0"/>
        <w:kinsoku/>
        <w:wordWrap/>
        <w:overflowPunct/>
        <w:topLinePunct w:val="0"/>
        <w:autoSpaceDE/>
        <w:autoSpaceDN/>
        <w:bidi w:val="0"/>
        <w:spacing w:line="50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（3）掌握电子商务类专业理论与专门方法，能够理论与实践紧密结合，解决实际问题；</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（4）了解快速发展的电子商务新兴产业动态，注重产业技术创新和商业模式创新并及时掌握相关的理论与技知识。</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3.能力要求</w:t>
      </w:r>
    </w:p>
    <w:p>
      <w:pPr>
        <w:pageBreakBefore w:val="0"/>
        <w:widowControl w:val="0"/>
        <w:kinsoku/>
        <w:wordWrap/>
        <w:overflowPunct/>
        <w:topLinePunct w:val="0"/>
        <w:autoSpaceDE/>
        <w:autoSpaceDN/>
        <w:bidi w:val="0"/>
        <w:spacing w:line="50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（1）具备独立自主地获取本专业相关知识的学习能力；</w:t>
      </w:r>
    </w:p>
    <w:p>
      <w:pPr>
        <w:pageBreakBefore w:val="0"/>
        <w:widowControl w:val="0"/>
        <w:kinsoku/>
        <w:wordWrap/>
        <w:overflowPunct/>
        <w:topLinePunct w:val="0"/>
        <w:autoSpaceDE/>
        <w:autoSpaceDN/>
        <w:bidi w:val="0"/>
        <w:spacing w:line="50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（2）具备将所获取的知识与实践融会贯通并灵活应用于电子商务系统设计与开发的技能；</w:t>
      </w:r>
    </w:p>
    <w:p>
      <w:pPr>
        <w:pageBreakBefore w:val="0"/>
        <w:widowControl w:val="0"/>
        <w:kinsoku/>
        <w:wordWrap/>
        <w:overflowPunct/>
        <w:topLinePunct w:val="0"/>
        <w:autoSpaceDE/>
        <w:autoSpaceDN/>
        <w:bidi w:val="0"/>
        <w:spacing w:line="50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（3）初步具备基于多科学知识融合的创意、创新和创业能力；</w:t>
      </w:r>
    </w:p>
    <w:p>
      <w:pPr>
        <w:pageBreakBefore w:val="0"/>
        <w:widowControl w:val="0"/>
        <w:kinsoku/>
        <w:wordWrap/>
        <w:overflowPunct/>
        <w:topLinePunct w:val="0"/>
        <w:autoSpaceDE/>
        <w:autoSpaceDN/>
        <w:bidi w:val="0"/>
        <w:spacing w:line="50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（4）具备良好的外语听、说、读、写能力；</w:t>
      </w:r>
    </w:p>
    <w:p>
      <w:pPr>
        <w:pageBreakBefore w:val="0"/>
        <w:widowControl w:val="0"/>
        <w:kinsoku/>
        <w:wordWrap/>
        <w:overflowPunct/>
        <w:topLinePunct w:val="0"/>
        <w:autoSpaceDE/>
        <w:autoSpaceDN/>
        <w:bidi w:val="0"/>
        <w:spacing w:line="50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（5）具备良好的计算机编程与互联网应用能力。</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kern w:val="2"/>
          <w:sz w:val="24"/>
          <w:szCs w:val="24"/>
          <w:lang w:val="en-US" w:eastAsia="zh-CN" w:bidi="ar-SA"/>
        </w:rPr>
        <w:t>4.技能要求</w:t>
      </w:r>
    </w:p>
    <w:p>
      <w:pPr>
        <w:pStyle w:val="32"/>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（1）具备扎实的商务网站分析能力与网站建设能力，如网页设计与网店美工能力、动态网</w:t>
      </w:r>
    </w:p>
    <w:p>
      <w:pPr>
        <w:pageBreakBefore w:val="0"/>
        <w:widowControl w:val="0"/>
        <w:kinsoku/>
        <w:wordWrap/>
        <w:overflowPunct/>
        <w:topLinePunct w:val="0"/>
        <w:autoSpaceDE/>
        <w:autoSpaceDN/>
        <w:bidi w:val="0"/>
        <w:spacing w:line="50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站编程能力，能够从事电子商务系统的规划、开发、管理、运作及维护等工作；</w:t>
      </w:r>
    </w:p>
    <w:p>
      <w:pPr>
        <w:pageBreakBefore w:val="0"/>
        <w:widowControl w:val="0"/>
        <w:numPr>
          <w:ilvl w:val="0"/>
          <w:numId w:val="0"/>
        </w:numPr>
        <w:kinsoku/>
        <w:wordWrap/>
        <w:overflowPunct/>
        <w:topLinePunct w:val="0"/>
        <w:autoSpaceDE/>
        <w:autoSpaceDN/>
        <w:bidi w:val="0"/>
        <w:spacing w:line="50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（2）具备扎实的网络营销能力与商铺运营能力，如新媒体营销能力、网店运营能力、市场分析能力、商务谈判能力，能够从事网上采购、网上销售、网上商铺经营等工作；</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（3）具备电子商务物流管理能力，能够较为熟练地进行企业电子商务物流系统的管理。</w:t>
      </w:r>
    </w:p>
    <w:p>
      <w:pPr>
        <w:rPr>
          <w:rFonts w:hint="eastAsia"/>
        </w:rPr>
      </w:pPr>
      <w:r>
        <w:rPr>
          <w:rFonts w:hint="eastAsia"/>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2" w:firstLineChars="200"/>
        <w:textAlignment w:val="auto"/>
        <w:rPr>
          <w:rFonts w:ascii="黑体" w:hAnsi="黑体" w:eastAsia="黑体"/>
          <w:sz w:val="24"/>
          <w:szCs w:val="24"/>
          <w:highlight w:val="none"/>
        </w:rPr>
      </w:pPr>
      <w:r>
        <w:rPr>
          <w:rFonts w:hint="eastAsia" w:ascii="黑体" w:hAnsi="黑体" w:eastAsia="黑体"/>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5"/>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r>
        <w:rPr>
          <w:rFonts w:hint="eastAsia" w:ascii="黑体" w:hAnsi="黑体" w:eastAsia="黑体" w:cs="黑体"/>
          <w:b/>
          <w:bCs/>
          <w:sz w:val="24"/>
          <w:szCs w:val="24"/>
          <w:lang w:val="en-US" w:eastAsia="zh-CN"/>
        </w:rPr>
        <w:t>表二：学科基础课程设置一览表</w:t>
      </w:r>
    </w:p>
    <w:tbl>
      <w:tblPr>
        <w:tblStyle w:val="15"/>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808"/>
        <w:gridCol w:w="7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程序设计（Python）</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课程采用“理解和运用计算生态”为教学理念，帮助学生快速、轻松且</w:t>
            </w:r>
            <w:r>
              <w:rPr>
                <w:rFonts w:hint="eastAsia" w:ascii="仿宋_GB2312" w:hAnsi="仿宋_GB2312" w:eastAsia="仿宋_GB2312" w:cs="仿宋_GB2312"/>
                <w:color w:val="000000"/>
                <w:kern w:val="0"/>
                <w:sz w:val="21"/>
                <w:szCs w:val="21"/>
                <w:highlight w:val="none"/>
                <w:lang w:eastAsia="zh-CN" w:bidi="ar"/>
              </w:rPr>
              <w:t>系统地</w:t>
            </w:r>
            <w:r>
              <w:rPr>
                <w:rFonts w:hint="eastAsia" w:ascii="仿宋_GB2312" w:hAnsi="仿宋_GB2312" w:eastAsia="仿宋_GB2312" w:cs="仿宋_GB2312"/>
                <w:color w:val="000000"/>
                <w:kern w:val="0"/>
                <w:sz w:val="21"/>
                <w:szCs w:val="21"/>
                <w:highlight w:val="none"/>
                <w:lang w:bidi="ar"/>
              </w:rPr>
              <w:t>学习Python语言，掌握程序设计的基本方法，了解从问题分析到程序维护整套程序设计流程，初步具备利用Python语言解决各类实际问题的能力。课程培养学生严谨求实的科学作风，提高科学素养。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管理学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通过管理学课程的学习，学生应该了解管理学的基本内容，掌握管理学思想发展史、 现代管理的科学体系和一般方法，理解管理的五大要素，即计划、组织、领导与激励、控制、 创新，以及现代决策的技术与方法，能对案例的分析能从定性和定量的方面得出结论。在实践中，学会用管理理论分析问题、解决问题；为自己从事管理工作打下基础。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微观经济学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微观经济学以价格理论为中心，研究企业、家庭和单个市场等微观供求行为与价格之间关系。学习内容包括供求的含义及均衡价格的形成、与消费相关的效用论、与生产相关的生产理论和成本理论、市场与厂商理论和市场与福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宏观经济学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宏观经济学以收入理论为中心，研究一个国家整体经济运行及政府如何运用经济政策来影响经济。学习内容包括国民经济的循环流转、国内生产总值的概念及基本核算方法、均衡国民收入的决定与乘数论、宏观经济政策的政策工具及应用、失业、货膨胀的形成原因及抑制通货膨胀的经济政策、经济增长的一般规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数据结构与算法（Java）</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该课程研究计算机处理数据的结构特性，学习线性表、树、图等常用数据结构的逻辑结构与存储结构；学习分治递归、动态规划、贪心算法等典型算法，掌握分析与推导算法效率的方法。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统计学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的学习要求学生既能掌握统计学的基本概念、基本原理，如统计调查方法，统计数据整理过程，集中趋势测度指标的计算，离散趋势测度指标的计算，时间序列的一系列分析指标的特点、长期趋势的测定、季节变动分析，综合指数的编制原理及应用、指数体系和因素分析法的应用，常见的抽样组织形式，样本均值及比率的抽样分布，如何根据样本数据对总体的参数进行合理的估计及假设检验，运用相关与回归分析方法对变量之间的关系进行研究，同时要求学生能够学以致用，将理论知识运用到对社会经济现象的分析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会计学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auto"/>
                <w:kern w:val="0"/>
                <w:sz w:val="21"/>
                <w:szCs w:val="21"/>
                <w:vertAlign w:val="baseline"/>
                <w:lang w:val="en-US" w:eastAsia="zh-CN" w:bidi="ar-SA"/>
              </w:rPr>
              <w:t>本课程主要介绍借贷记账法，账户，会计凭证，会计账簿以及进行会计核算编制会计报表。学习本课程的意义在于使学生了解会计是什么，是怎样进行核算的，掌握会计学的基本理论和确认计量方法。</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5"/>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电子商务概论</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掌握电子商务的基础理论、专门知识、基础技能、电子商务系统设计方法以及电子商务运营管理能力，具有从事电子商务相关工作 的基本技能和初步能力。通过《电子商务概论》课程的学习，学生应该熟识不同交易模式和不同电商平台的适用 范围，理解互联网消费者的行为心理，熟悉国家的电子商务法规，具有电子商务思维和创新 思维，积极培养互联网创业意识。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互联网金融</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本课程是一门全面系统讲述互联网金融原理、业务模式、管理实践与政策规制的课程，从互联网技术与金融业务融合的角度，揭示金融科技演进中不变的逻辑，讲解互联网金融给百姓生活带来的变化，提高学习者利用互联网金融管理资产与控制风险的能力，掌握国家金融监管部门政策变化，把握金融科技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供应链与物流管理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供应链与物流管理</w:t>
            </w:r>
            <w:r>
              <w:rPr>
                <w:rFonts w:hint="eastAsia" w:ascii="仿宋_GB2312" w:hAnsi="仿宋_GB2312" w:eastAsia="仿宋_GB2312" w:cs="仿宋_GB2312"/>
                <w:color w:val="000000"/>
                <w:kern w:val="0"/>
                <w:sz w:val="21"/>
                <w:szCs w:val="21"/>
                <w:highlight w:val="none"/>
                <w:lang w:val="en-US" w:eastAsia="zh-CN" w:bidi="ar"/>
              </w:rPr>
              <w:t>是现代物流管理的重要组成部分。课程主要介绍了</w:t>
            </w:r>
            <w:r>
              <w:rPr>
                <w:rFonts w:hint="eastAsia" w:ascii="仿宋_GB2312" w:hAnsi="仿宋_GB2312" w:eastAsia="仿宋_GB2312" w:cs="仿宋_GB2312"/>
                <w:sz w:val="21"/>
                <w:szCs w:val="21"/>
                <w:highlight w:val="none"/>
                <w:vertAlign w:val="baseline"/>
              </w:rPr>
              <w:t>供应链与物流</w:t>
            </w:r>
            <w:r>
              <w:rPr>
                <w:rFonts w:hint="eastAsia" w:ascii="仿宋_GB2312" w:hAnsi="仿宋_GB2312" w:eastAsia="仿宋_GB2312" w:cs="仿宋_GB2312"/>
                <w:color w:val="000000"/>
                <w:kern w:val="0"/>
                <w:sz w:val="21"/>
                <w:szCs w:val="21"/>
                <w:highlight w:val="none"/>
                <w:lang w:val="en-US" w:eastAsia="zh-CN" w:bidi="ar"/>
              </w:rPr>
              <w:t>的关系，供应链的基本概念和思想、企业供应物流、销售物流与生产物流、运输管理企业库存管理、包装与装卸搬运管理、供应链管理方法及业务流程重组等。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Web前端设计</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通过课程学习，使学生树立正确的社会主义核心价值观，掌握Web前端规划与设计的基本理论和基本知识，具备基于Web的前端设计的基本能力，能够从事Web、移动等方面的软件前端开发工作，富有社会责任感，具有创新意识和创业精神的高素质应用型专门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数据库系统</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数据库系统原理课程是一门理论与实践相结合的课程，通过大数据技术、数据保护、关系模型、实体联系方法、数据定义与操作、属性联系方法等内容的学习，使学习者掌握数据管理的共性关键技术和方法，具备分析数据管理问题和解决数据管理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tabs>
                <w:tab w:val="left" w:pos="515"/>
              </w:tabs>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客户关系管理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该课程从企业实践入手，通过知识讲解、案例分析等方式，重点探讨企业是如何认识客户、如何与客户互动、如何获得客户满意、如何处理客户投诉等问题。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计算机网络</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通过本课程的学习，力求使学生对计算机网络有一个全面的了解，掌握计算机网络的实际操作技术，并对当前计算机网络技术出现的新技术和未来发展趋势有所认识，能够根据计算机网络技术的发展举一反三、灵活应用所学知识于实际工作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网络营销</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通过本课程的教学使学生对网络营销的理论体系有一个系统地了解，对在网络虚拟市场开展营销活动的原理和特点、环境与方法、工具和手段、目标与实施控制等相关内容，得到全面的领会和感性认识，并掌握开展网络营销的操作思路和相应的运作技巧。</w:t>
            </w:r>
          </w:p>
        </w:tc>
      </w:tr>
    </w:tbl>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2" w:firstLineChars="200"/>
        <w:textAlignment w:val="auto"/>
        <w:rPr>
          <w:rFonts w:ascii="黑体" w:hAnsi="黑体" w:eastAsia="黑体"/>
          <w:sz w:val="24"/>
          <w:szCs w:val="24"/>
          <w:highlight w:val="none"/>
        </w:rPr>
      </w:pPr>
      <w:r>
        <w:rPr>
          <w:rFonts w:hint="eastAsia" w:ascii="黑体" w:hAnsi="黑体" w:eastAsia="黑体"/>
          <w:sz w:val="24"/>
          <w:szCs w:val="24"/>
          <w:highlight w:val="none"/>
          <w:lang w:val="en-US" w:eastAsia="zh-CN"/>
        </w:rPr>
        <w:t>考核与</w:t>
      </w:r>
      <w:r>
        <w:rPr>
          <w:rFonts w:hint="eastAsia" w:ascii="黑体" w:hAnsi="黑体" w:eastAsia="黑体"/>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1.学生在基本学制2.5年的专业人才培养方案所规定的1638学时91学分，完成规定的教学活动，达到培养规格规定的素质、知识和能力等要求，准予毕业。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2.取得本科毕业证书、全省学位外语考试合格、毕业论文（设计）良好以上，符合我校《成人高等教育学士学位授予工作实施细则》有关规定者，可授予管理学学士学位证书。</w:t>
      </w:r>
    </w:p>
    <w:p>
      <w:pPr>
        <w:pStyle w:val="2"/>
        <w:rPr>
          <w:rFonts w:hint="eastAsia"/>
          <w:lang w:val="en-US" w:eastAsia="zh-CN"/>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2" w:firstLineChars="200"/>
        <w:textAlignment w:val="auto"/>
        <w:rPr>
          <w:rFonts w:ascii="黑体" w:hAnsi="黑体" w:eastAsia="黑体"/>
          <w:sz w:val="24"/>
          <w:szCs w:val="24"/>
          <w:highlight w:val="none"/>
        </w:rPr>
      </w:pPr>
      <w:r>
        <w:rPr>
          <w:rFonts w:hint="eastAsia" w:ascii="黑体" w:hAnsi="黑体" w:eastAsia="黑体"/>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91</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color w:val="000000"/>
          <w:kern w:val="0"/>
          <w:sz w:val="24"/>
          <w:szCs w:val="24"/>
          <w:highlight w:val="none"/>
          <w:lang w:val="en-US" w:eastAsia="zh-CN" w:bidi="ar"/>
        </w:rPr>
        <w:t>通识教育课程28学分，</w:t>
      </w:r>
      <w:r>
        <w:rPr>
          <w:rFonts w:hint="eastAsia" w:ascii="仿宋_GB2312" w:hAnsi="仿宋_GB2312" w:eastAsia="仿宋_GB2312" w:cs="仿宋_GB2312"/>
          <w:sz w:val="24"/>
          <w:szCs w:val="24"/>
          <w:highlight w:val="none"/>
          <w:lang w:val="en-US" w:eastAsia="zh-CN"/>
        </w:rPr>
        <w:t>学科基础课程23学分，</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程26学分，综合实践课程</w:t>
      </w: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表四：电子商务</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23</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14</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21.5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21.5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18.5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lang w:val="en-US" w:eastAsia="zh-CN"/>
              </w:rPr>
              <w:t>18</w:t>
            </w:r>
            <w:r>
              <w:rPr>
                <w:rFonts w:hint="eastAsia" w:ascii="仿宋_GB2312" w:hAnsi="仿宋_GB2312" w:eastAsia="仿宋_GB2312" w:cs="仿宋_GB2312"/>
                <w:sz w:val="21"/>
                <w:szCs w:val="21"/>
                <w:vertAlign w:val="baseline"/>
              </w:rPr>
              <w:t>.5</w:t>
            </w:r>
            <w:r>
              <w:rPr>
                <w:rFonts w:hint="eastAsia"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23.6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23.6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20.3</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20.3</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12.1</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kinsoku/>
        <w:wordWrap/>
        <w:overflowPunct/>
        <w:topLinePunct w:val="0"/>
        <w:autoSpaceDE/>
        <w:autoSpaceDN/>
        <w:bidi w:val="0"/>
        <w:adjustRightInd/>
        <w:snapToGrid/>
        <w:spacing w:line="500" w:lineRule="exact"/>
        <w:jc w:val="center"/>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表五：电子商务</w:t>
      </w:r>
      <w:r>
        <w:rPr>
          <w:rFonts w:hint="eastAsia" w:ascii="黑体" w:hAnsi="黑体" w:eastAsia="黑体" w:cs="黑体"/>
          <w:b/>
          <w:bCs/>
          <w:kern w:val="0"/>
          <w:sz w:val="24"/>
          <w:szCs w:val="24"/>
          <w:highlight w:val="none"/>
        </w:rPr>
        <w:t>专业教学进程安排表</w:t>
      </w:r>
    </w:p>
    <w:tbl>
      <w:tblPr>
        <w:tblStyle w:val="14"/>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0836064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程序设计（Python）</w:t>
            </w:r>
            <w:r>
              <w:rPr>
                <w:rFonts w:hint="eastAsia" w:ascii="仿宋_GB2312" w:hAnsi="仿宋_GB2312" w:eastAsia="仿宋_GB2312" w:cs="仿宋_GB2312"/>
                <w:sz w:val="18"/>
                <w:szCs w:val="18"/>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0101033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管理学</w:t>
            </w:r>
            <w:r>
              <w:rPr>
                <w:rFonts w:hint="eastAsia" w:ascii="仿宋_GB2312" w:hAnsi="仿宋_GB2312" w:eastAsia="仿宋_GB2312" w:cs="仿宋_GB2312"/>
                <w:sz w:val="18"/>
                <w:szCs w:val="18"/>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微观经济学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宏观经济学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0836104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数据结构与算法（Java）</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0202083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统计学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1108552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会计学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1123013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电子商务概论</w:t>
            </w:r>
            <w:r>
              <w:rPr>
                <w:rFonts w:hint="eastAsia" w:ascii="仿宋_GB2312" w:hAnsi="仿宋_GB2312" w:eastAsia="仿宋_GB2312" w:cs="仿宋_GB2312"/>
                <w:sz w:val="18"/>
                <w:szCs w:val="18"/>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1123043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互联网金融</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1123493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供应链与物流管理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1123402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Web前端技术</w:t>
            </w:r>
            <w:r>
              <w:rPr>
                <w:rFonts w:hint="eastAsia" w:ascii="仿宋_GB2312" w:hAnsi="仿宋_GB2312" w:eastAsia="仿宋_GB2312" w:cs="仿宋_GB2312"/>
                <w:sz w:val="18"/>
                <w:szCs w:val="18"/>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0888324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数据库系统</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0121032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客户关系管理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0818063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计算机网络</w:t>
            </w:r>
            <w:r>
              <w:rPr>
                <w:rFonts w:hint="eastAsia" w:ascii="仿宋_GB2312" w:hAnsi="仿宋_GB2312" w:eastAsia="仿宋_GB2312" w:cs="仿宋_GB2312"/>
                <w:sz w:val="18"/>
                <w:szCs w:val="18"/>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1186403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网络营销</w:t>
            </w:r>
            <w:r>
              <w:rPr>
                <w:rFonts w:hint="eastAsia" w:ascii="仿宋_GB2312" w:hAnsi="仿宋_GB2312" w:eastAsia="仿宋_GB2312" w:cs="仿宋_GB2312"/>
                <w:sz w:val="18"/>
                <w:szCs w:val="18"/>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1124022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电子商务系统分析与设计</w:t>
            </w:r>
            <w:r>
              <w:rPr>
                <w:rFonts w:hint="eastAsia" w:ascii="仿宋_GB2312" w:hAnsi="仿宋_GB2312" w:eastAsia="仿宋_GB2312" w:cs="仿宋_GB2312"/>
                <w:sz w:val="18"/>
                <w:szCs w:val="18"/>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1638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1398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108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240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387</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387</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333</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333</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78.8</w:t>
            </w:r>
            <w:bookmarkStart w:id="2" w:name="_GoBack"/>
            <w:bookmarkEnd w:id="2"/>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6.6</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23.6</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23.6</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20.3</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20.3</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12.1</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电子商务</w:t>
      </w:r>
      <w:r>
        <w:rPr>
          <w:rFonts w:hint="eastAsia" w:ascii="宋体" w:hAnsi="宋体" w:eastAsia="宋体" w:cs="宋体"/>
          <w:sz w:val="21"/>
          <w:szCs w:val="21"/>
        </w:rPr>
        <w:t>专业教学进程安排表”，打“√”的为该门课的考核方式。</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3.思想政治·限选四史类必修课2学分：党史、新中国史、改革开放史、社会主义发展史。</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720" w:firstLineChars="3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560" w:firstLineChars="200"/>
        <w:textAlignment w:val="auto"/>
        <w:rPr>
          <w:rFonts w:ascii="黑体" w:hAnsi="黑体" w:eastAsia="黑体"/>
          <w:b w:val="0"/>
          <w:bCs w:val="0"/>
          <w:sz w:val="28"/>
          <w:szCs w:val="28"/>
          <w:highlight w:val="none"/>
        </w:rPr>
      </w:pPr>
      <w:r>
        <w:rPr>
          <w:rFonts w:hint="eastAsia" w:ascii="黑体" w:hAnsi="黑体" w:eastAsia="黑体"/>
          <w:b w:val="0"/>
          <w:bCs w:val="0"/>
          <w:sz w:val="28"/>
          <w:szCs w:val="28"/>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sz w:val="24"/>
          <w:szCs w:val="24"/>
          <w:lang w:val="en-US" w:eastAsia="zh-CN"/>
        </w:rPr>
        <w:t>教材选用</w:t>
      </w:r>
      <w:r>
        <w:rPr>
          <w:rFonts w:hint="eastAsia" w:ascii="仿宋_GB2312" w:hAnsi="仿宋_GB2312" w:eastAsia="仿宋_GB2312" w:cs="仿宋_GB2312"/>
          <w:sz w:val="24"/>
          <w:szCs w:val="24"/>
        </w:rPr>
        <w:t>遵循择优选用的原则，使用国家统编教材、新教材或高质量教材（含实践教学教材）</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教材及教辅资料依据人才培养方案培养要求为基础选取，教材内容符合成人教育规律，既能吸引学生学习兴趣，又注重实用性。</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sz w:val="24"/>
          <w:szCs w:val="24"/>
        </w:rPr>
        <w:t>广州华商学院数据科学学院电子商务专业现有专任教师</w:t>
      </w:r>
      <w:r>
        <w:rPr>
          <w:rFonts w:hint="eastAsia" w:ascii="仿宋_GB2312" w:hAnsi="仿宋_GB2312" w:eastAsia="仿宋_GB2312" w:cs="仿宋_GB2312"/>
          <w:sz w:val="24"/>
          <w:szCs w:val="24"/>
          <w:lang w:val="en-US" w:eastAsia="zh-CN"/>
        </w:rPr>
        <w:t>11</w:t>
      </w:r>
      <w:r>
        <w:rPr>
          <w:rFonts w:hint="eastAsia" w:ascii="仿宋_GB2312" w:hAnsi="仿宋_GB2312" w:eastAsia="仿宋_GB2312" w:cs="仿宋_GB2312"/>
          <w:sz w:val="24"/>
          <w:szCs w:val="24"/>
        </w:rPr>
        <w:t xml:space="preserve">人，由 </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名正教授、2名副教授、</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名讲师，</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名</w:t>
      </w:r>
      <w:r>
        <w:rPr>
          <w:rFonts w:hint="eastAsia" w:ascii="仿宋_GB2312" w:hAnsi="仿宋_GB2312" w:eastAsia="仿宋_GB2312" w:cs="仿宋_GB2312"/>
          <w:sz w:val="24"/>
          <w:szCs w:val="24"/>
          <w:lang w:val="en-US" w:eastAsia="zh-CN"/>
        </w:rPr>
        <w:t>助教</w:t>
      </w:r>
      <w:r>
        <w:rPr>
          <w:rFonts w:hint="eastAsia" w:ascii="仿宋_GB2312" w:hAnsi="仿宋_GB2312" w:eastAsia="仿宋_GB2312" w:cs="仿宋_GB2312"/>
          <w:sz w:val="24"/>
          <w:szCs w:val="24"/>
        </w:rPr>
        <w:t>组成。教师团队成员所学专业结构有电子商务、电子政务、工商企业管理、工业管理、运筹学与控制论、计算机科学与技术等，专业相关性高、专业涉猎面广、职业性强，知识结构合理，既有讲座专家、学习实训教师、微课制作专家，又有网络维护专家。教师团队60岁以上</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人、4</w:t>
      </w:r>
      <w:r>
        <w:rPr>
          <w:rFonts w:hint="eastAsia" w:ascii="仿宋_GB2312" w:hAnsi="仿宋_GB2312" w:eastAsia="仿宋_GB2312" w:cs="仿宋_GB2312"/>
          <w:sz w:val="24"/>
          <w:szCs w:val="24"/>
          <w:lang w:val="en-US" w:eastAsia="zh-CN"/>
        </w:rPr>
        <w:t>0</w:t>
      </w:r>
      <w:r>
        <w:rPr>
          <w:rFonts w:hint="eastAsia" w:ascii="仿宋_GB2312" w:hAnsi="仿宋_GB2312" w:eastAsia="仿宋_GB2312" w:cs="仿宋_GB2312"/>
          <w:sz w:val="24"/>
          <w:szCs w:val="24"/>
        </w:rPr>
        <w:t>-60岁</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人，4</w:t>
      </w:r>
      <w:r>
        <w:rPr>
          <w:rFonts w:hint="eastAsia" w:ascii="仿宋_GB2312" w:hAnsi="仿宋_GB2312" w:eastAsia="仿宋_GB2312" w:cs="仿宋_GB2312"/>
          <w:sz w:val="24"/>
          <w:szCs w:val="24"/>
          <w:lang w:val="en-US" w:eastAsia="zh-CN"/>
        </w:rPr>
        <w:t>0</w:t>
      </w:r>
      <w:r>
        <w:rPr>
          <w:rFonts w:hint="eastAsia" w:ascii="仿宋_GB2312" w:hAnsi="仿宋_GB2312" w:eastAsia="仿宋_GB2312" w:cs="仿宋_GB2312"/>
          <w:sz w:val="24"/>
          <w:szCs w:val="24"/>
        </w:rPr>
        <w:t>以下</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人，教学队伍中青年教师约占</w:t>
      </w: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0%。硕士</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人，本科3人，硕士占教师总数</w:t>
      </w:r>
      <w:r>
        <w:rPr>
          <w:rFonts w:hint="eastAsia" w:ascii="仿宋_GB2312" w:hAnsi="仿宋_GB2312" w:eastAsia="仿宋_GB2312" w:cs="仿宋_GB2312"/>
          <w:sz w:val="24"/>
          <w:szCs w:val="24"/>
          <w:lang w:val="en-US" w:eastAsia="zh-CN"/>
        </w:rPr>
        <w:t>78</w:t>
      </w:r>
      <w:r>
        <w:rPr>
          <w:rFonts w:hint="eastAsia" w:ascii="仿宋_GB2312" w:hAnsi="仿宋_GB2312" w:eastAsia="仿宋_GB2312" w:cs="仿宋_GB2312"/>
          <w:sz w:val="24"/>
          <w:szCs w:val="24"/>
        </w:rPr>
        <w:t>%。教师团队分别毕业于国内重点高校或知名大学，受不同高校不同校风熏陶形成的不同的教学、科研风格，团队成员之间的取长补短、有机融合有利于创新教学、科研理念，提高教学、科研水平。</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教学及实验实训条件</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hint="eastAsia" w:ascii="仿宋_GB2312" w:hAnsi="仿宋_GB2312" w:eastAsia="仿宋_GB2312" w:cs="仿宋_GB2312"/>
          <w:b/>
          <w:bCs/>
          <w:sz w:val="24"/>
          <w:szCs w:val="24"/>
          <w:lang w:val="en-US" w:eastAsia="zh-CN"/>
        </w:rPr>
        <w:t>.校内</w:t>
      </w:r>
      <w:r>
        <w:rPr>
          <w:rFonts w:hint="eastAsia" w:ascii="仿宋_GB2312" w:hAnsi="仿宋_GB2312" w:eastAsia="仿宋_GB2312" w:cs="仿宋_GB2312"/>
          <w:b/>
          <w:bCs/>
          <w:sz w:val="24"/>
          <w:szCs w:val="24"/>
        </w:rPr>
        <w:t>实验室建设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本专业已拥有现代多媒体、全网络覆盖、支持教师研发混合式教学用地基本满足日常教学需要，生均仪器设备值达3019.7元/生。用于电子商务专业实践教学的实验室如</w:t>
      </w:r>
      <w:r>
        <w:rPr>
          <w:rFonts w:hint="eastAsia" w:ascii="仿宋_GB2312" w:hAnsi="仿宋_GB2312" w:eastAsia="仿宋_GB2312" w:cs="仿宋_GB2312"/>
          <w:sz w:val="24"/>
          <w:szCs w:val="24"/>
          <w:lang w:val="en-US" w:eastAsia="zh-CN"/>
        </w:rPr>
        <w:t>下</w:t>
      </w:r>
      <w:r>
        <w:rPr>
          <w:rFonts w:hint="eastAsia" w:ascii="仿宋_GB2312" w:hAnsi="仿宋_GB2312" w:eastAsia="仿宋_GB2312" w:cs="仿宋_GB2312"/>
          <w:sz w:val="24"/>
          <w:szCs w:val="24"/>
        </w:rPr>
        <w:t>表所示。</w:t>
      </w:r>
    </w:p>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电子商务专业实验室一览表</w:t>
      </w:r>
    </w:p>
    <w:tbl>
      <w:tblPr>
        <w:tblStyle w:val="14"/>
        <w:tblW w:w="8761" w:type="dxa"/>
        <w:jc w:val="center"/>
        <w:tblLayout w:type="fixed"/>
        <w:tblCellMar>
          <w:top w:w="0" w:type="dxa"/>
          <w:left w:w="108" w:type="dxa"/>
          <w:bottom w:w="0" w:type="dxa"/>
          <w:right w:w="108" w:type="dxa"/>
        </w:tblCellMar>
      </w:tblPr>
      <w:tblGrid>
        <w:gridCol w:w="637"/>
        <w:gridCol w:w="1163"/>
        <w:gridCol w:w="405"/>
        <w:gridCol w:w="657"/>
        <w:gridCol w:w="1231"/>
        <w:gridCol w:w="219"/>
        <w:gridCol w:w="1483"/>
        <w:gridCol w:w="1887"/>
        <w:gridCol w:w="1079"/>
      </w:tblGrid>
      <w:tr>
        <w:tblPrEx>
          <w:tblCellMar>
            <w:top w:w="0" w:type="dxa"/>
            <w:left w:w="108" w:type="dxa"/>
            <w:bottom w:w="0" w:type="dxa"/>
            <w:right w:w="108" w:type="dxa"/>
          </w:tblCellMar>
        </w:tblPrEx>
        <w:trPr>
          <w:trHeight w:val="609" w:hRule="atLeast"/>
          <w:tblHeader/>
          <w:jc w:val="center"/>
        </w:trPr>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序号</w:t>
            </w:r>
          </w:p>
        </w:tc>
        <w:tc>
          <w:tcPr>
            <w:tcW w:w="15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实验室名称</w:t>
            </w:r>
          </w:p>
        </w:tc>
        <w:tc>
          <w:tcPr>
            <w:tcW w:w="657"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数量</w:t>
            </w:r>
          </w:p>
        </w:tc>
        <w:tc>
          <w:tcPr>
            <w:tcW w:w="1231"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计算机台数</w:t>
            </w:r>
          </w:p>
        </w:tc>
        <w:tc>
          <w:tcPr>
            <w:tcW w:w="170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主要软件系统</w:t>
            </w:r>
          </w:p>
        </w:tc>
        <w:tc>
          <w:tcPr>
            <w:tcW w:w="296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可承担实验课程</w:t>
            </w:r>
          </w:p>
        </w:tc>
      </w:tr>
      <w:tr>
        <w:tblPrEx>
          <w:tblCellMar>
            <w:top w:w="0" w:type="dxa"/>
            <w:left w:w="108" w:type="dxa"/>
            <w:bottom w:w="0" w:type="dxa"/>
            <w:right w:w="108" w:type="dxa"/>
          </w:tblCellMar>
        </w:tblPrEx>
        <w:trPr>
          <w:trHeight w:val="462" w:hRule="atLeast"/>
          <w:jc w:val="center"/>
        </w:trPr>
        <w:tc>
          <w:tcPr>
            <w:tcW w:w="637"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1568"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计算机网络与信息安全实验室</w:t>
            </w:r>
          </w:p>
        </w:tc>
        <w:tc>
          <w:tcPr>
            <w:tcW w:w="657"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123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1台/2生</w:t>
            </w:r>
          </w:p>
        </w:tc>
        <w:tc>
          <w:tcPr>
            <w:tcW w:w="1702"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PT、信息安全实验平台</w:t>
            </w:r>
          </w:p>
        </w:tc>
        <w:tc>
          <w:tcPr>
            <w:tcW w:w="2966"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计算机网络、信息安全技术</w:t>
            </w:r>
          </w:p>
        </w:tc>
      </w:tr>
      <w:tr>
        <w:tblPrEx>
          <w:tblCellMar>
            <w:top w:w="0" w:type="dxa"/>
            <w:left w:w="108" w:type="dxa"/>
            <w:bottom w:w="0" w:type="dxa"/>
            <w:right w:w="108" w:type="dxa"/>
          </w:tblCellMar>
        </w:tblPrEx>
        <w:trPr>
          <w:trHeight w:val="400" w:hRule="atLeast"/>
          <w:jc w:val="center"/>
        </w:trPr>
        <w:tc>
          <w:tcPr>
            <w:tcW w:w="637"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w:t>
            </w:r>
          </w:p>
        </w:tc>
        <w:tc>
          <w:tcPr>
            <w:tcW w:w="1568"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数据结构与算法实验室</w:t>
            </w:r>
          </w:p>
        </w:tc>
        <w:tc>
          <w:tcPr>
            <w:tcW w:w="657"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123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1台/1生</w:t>
            </w:r>
          </w:p>
        </w:tc>
        <w:tc>
          <w:tcPr>
            <w:tcW w:w="1702"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VC、VS</w:t>
            </w:r>
          </w:p>
        </w:tc>
        <w:tc>
          <w:tcPr>
            <w:tcW w:w="2966"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数据结构、算法设计与分析</w:t>
            </w:r>
          </w:p>
        </w:tc>
      </w:tr>
      <w:tr>
        <w:tblPrEx>
          <w:tblCellMar>
            <w:top w:w="0" w:type="dxa"/>
            <w:left w:w="108" w:type="dxa"/>
            <w:bottom w:w="0" w:type="dxa"/>
            <w:right w:w="108" w:type="dxa"/>
          </w:tblCellMar>
        </w:tblPrEx>
        <w:trPr>
          <w:trHeight w:val="462" w:hRule="atLeast"/>
          <w:jc w:val="center"/>
        </w:trPr>
        <w:tc>
          <w:tcPr>
            <w:tcW w:w="637"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w:t>
            </w:r>
          </w:p>
        </w:tc>
        <w:tc>
          <w:tcPr>
            <w:tcW w:w="1568"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程序设计实验室</w:t>
            </w:r>
          </w:p>
        </w:tc>
        <w:tc>
          <w:tcPr>
            <w:tcW w:w="657"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123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1台/1生</w:t>
            </w:r>
          </w:p>
        </w:tc>
        <w:tc>
          <w:tcPr>
            <w:tcW w:w="1702"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VC、RAPTOR、Python、</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Eclipse</w:t>
            </w:r>
          </w:p>
        </w:tc>
        <w:tc>
          <w:tcPr>
            <w:tcW w:w="2966"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程序设计基础、C语言程序设计、Python程序设计、面向对象程序设计、WEB应用系统开发、JAVA企业级应用、软件工程</w:t>
            </w:r>
          </w:p>
        </w:tc>
      </w:tr>
      <w:tr>
        <w:tblPrEx>
          <w:tblCellMar>
            <w:top w:w="0" w:type="dxa"/>
            <w:left w:w="108" w:type="dxa"/>
            <w:bottom w:w="0" w:type="dxa"/>
            <w:right w:w="108" w:type="dxa"/>
          </w:tblCellMar>
        </w:tblPrEx>
        <w:trPr>
          <w:trHeight w:val="315" w:hRule="atLeast"/>
          <w:jc w:val="center"/>
        </w:trPr>
        <w:tc>
          <w:tcPr>
            <w:tcW w:w="637"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4</w:t>
            </w:r>
          </w:p>
        </w:tc>
        <w:tc>
          <w:tcPr>
            <w:tcW w:w="1568"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数据库实验室</w:t>
            </w:r>
          </w:p>
        </w:tc>
        <w:tc>
          <w:tcPr>
            <w:tcW w:w="657"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123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1台/1生</w:t>
            </w:r>
          </w:p>
        </w:tc>
        <w:tc>
          <w:tcPr>
            <w:tcW w:w="1702"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Oracle、SQL Server</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、Anaconda、Graphical</w:t>
            </w:r>
          </w:p>
        </w:tc>
        <w:tc>
          <w:tcPr>
            <w:tcW w:w="2966"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数据库原理与应用、大型数据库应用、数据仓库与挖掘技术</w:t>
            </w:r>
          </w:p>
        </w:tc>
      </w:tr>
      <w:tr>
        <w:tblPrEx>
          <w:tblCellMar>
            <w:top w:w="0" w:type="dxa"/>
            <w:left w:w="108" w:type="dxa"/>
            <w:bottom w:w="0" w:type="dxa"/>
            <w:right w:w="108" w:type="dxa"/>
          </w:tblCellMar>
        </w:tblPrEx>
        <w:trPr>
          <w:trHeight w:val="462" w:hRule="atLeast"/>
          <w:jc w:val="center"/>
        </w:trPr>
        <w:tc>
          <w:tcPr>
            <w:tcW w:w="637"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1568"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电子商务模拟实验室</w:t>
            </w:r>
          </w:p>
        </w:tc>
        <w:tc>
          <w:tcPr>
            <w:tcW w:w="657"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123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1台/1生</w:t>
            </w:r>
          </w:p>
        </w:tc>
        <w:tc>
          <w:tcPr>
            <w:tcW w:w="1702"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奥派电子商务应用平台</w:t>
            </w:r>
          </w:p>
        </w:tc>
        <w:tc>
          <w:tcPr>
            <w:tcW w:w="2966"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电子商务概论、网站运营与管理</w:t>
            </w:r>
          </w:p>
        </w:tc>
      </w:tr>
      <w:tr>
        <w:tblPrEx>
          <w:tblCellMar>
            <w:top w:w="0" w:type="dxa"/>
            <w:left w:w="108" w:type="dxa"/>
            <w:bottom w:w="0" w:type="dxa"/>
            <w:right w:w="108" w:type="dxa"/>
          </w:tblCellMar>
        </w:tblPrEx>
        <w:trPr>
          <w:trHeight w:val="615" w:hRule="atLeast"/>
          <w:jc w:val="center"/>
        </w:trPr>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1568"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UI实验室</w:t>
            </w:r>
          </w:p>
        </w:tc>
        <w:tc>
          <w:tcPr>
            <w:tcW w:w="657"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1231"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1台/1生</w:t>
            </w:r>
          </w:p>
        </w:tc>
        <w:tc>
          <w:tcPr>
            <w:tcW w:w="1702"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Phtoshop、Flash、Fireworks</w:t>
            </w:r>
          </w:p>
        </w:tc>
        <w:tc>
          <w:tcPr>
            <w:tcW w:w="2966"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商品拍摄与图片处理</w:t>
            </w:r>
          </w:p>
        </w:tc>
      </w:tr>
      <w:tr>
        <w:tblPrEx>
          <w:tblCellMar>
            <w:top w:w="0" w:type="dxa"/>
            <w:left w:w="108" w:type="dxa"/>
            <w:bottom w:w="0" w:type="dxa"/>
            <w:right w:w="108" w:type="dxa"/>
          </w:tblCellMar>
        </w:tblPrEx>
        <w:trPr>
          <w:trHeight w:val="465" w:hRule="atLeast"/>
          <w:jc w:val="center"/>
        </w:trPr>
        <w:tc>
          <w:tcPr>
            <w:tcW w:w="637"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7</w:t>
            </w:r>
          </w:p>
        </w:tc>
        <w:tc>
          <w:tcPr>
            <w:tcW w:w="1568"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跨境电子商务实验室</w:t>
            </w:r>
          </w:p>
        </w:tc>
        <w:tc>
          <w:tcPr>
            <w:tcW w:w="657"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123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1台/1生</w:t>
            </w:r>
          </w:p>
        </w:tc>
        <w:tc>
          <w:tcPr>
            <w:tcW w:w="1702"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跨境电商实训实战平台</w:t>
            </w:r>
          </w:p>
        </w:tc>
        <w:tc>
          <w:tcPr>
            <w:tcW w:w="2966"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跨境电子商务、跨境电商物流管理</w:t>
            </w:r>
          </w:p>
        </w:tc>
      </w:tr>
      <w:tr>
        <w:tblPrEx>
          <w:tblCellMar>
            <w:top w:w="0" w:type="dxa"/>
            <w:left w:w="108" w:type="dxa"/>
            <w:bottom w:w="0" w:type="dxa"/>
            <w:right w:w="108" w:type="dxa"/>
          </w:tblCellMar>
        </w:tblPrEx>
        <w:trPr>
          <w:trHeight w:val="874" w:hRule="atLeast"/>
          <w:jc w:val="center"/>
        </w:trPr>
        <w:tc>
          <w:tcPr>
            <w:tcW w:w="637"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8</w:t>
            </w:r>
          </w:p>
        </w:tc>
        <w:tc>
          <w:tcPr>
            <w:tcW w:w="1568"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商务数据分析实验室</w:t>
            </w:r>
          </w:p>
        </w:tc>
        <w:tc>
          <w:tcPr>
            <w:tcW w:w="657"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1231" w:type="dxa"/>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1台/1生</w:t>
            </w:r>
          </w:p>
        </w:tc>
        <w:tc>
          <w:tcPr>
            <w:tcW w:w="1702"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Excel、Hive、Google Analytics</w:t>
            </w:r>
          </w:p>
        </w:tc>
        <w:tc>
          <w:tcPr>
            <w:tcW w:w="2966" w:type="dxa"/>
            <w:gridSpan w:val="2"/>
            <w:tcBorders>
              <w:top w:val="nil"/>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电子商务数据分析</w:t>
            </w:r>
          </w:p>
        </w:tc>
      </w:tr>
      <w:tr>
        <w:tblPrEx>
          <w:tblCellMar>
            <w:top w:w="0" w:type="dxa"/>
            <w:left w:w="108" w:type="dxa"/>
            <w:bottom w:w="0" w:type="dxa"/>
            <w:right w:w="108" w:type="dxa"/>
          </w:tblCellMar>
        </w:tblPrEx>
        <w:trPr>
          <w:trHeight w:val="462" w:hRule="atLeast"/>
          <w:jc w:val="center"/>
        </w:trPr>
        <w:tc>
          <w:tcPr>
            <w:tcW w:w="1800" w:type="dxa"/>
            <w:gridSpan w:val="2"/>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实验室数量（间）</w:t>
            </w:r>
          </w:p>
        </w:tc>
        <w:tc>
          <w:tcPr>
            <w:tcW w:w="1062" w:type="dxa"/>
            <w:gridSpan w:val="2"/>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8</w:t>
            </w:r>
          </w:p>
        </w:tc>
        <w:tc>
          <w:tcPr>
            <w:tcW w:w="1450" w:type="dxa"/>
            <w:gridSpan w:val="2"/>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资产总值（元）</w:t>
            </w:r>
          </w:p>
        </w:tc>
        <w:tc>
          <w:tcPr>
            <w:tcW w:w="1483"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2373489</w:t>
            </w:r>
          </w:p>
        </w:tc>
        <w:tc>
          <w:tcPr>
            <w:tcW w:w="1887"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生均仪器设备值（元）</w:t>
            </w:r>
          </w:p>
        </w:tc>
        <w:tc>
          <w:tcPr>
            <w:tcW w:w="1079" w:type="dxa"/>
            <w:tcBorders>
              <w:top w:val="nil"/>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3019.7</w:t>
            </w:r>
          </w:p>
        </w:tc>
      </w:tr>
    </w:tbl>
    <w:p>
      <w:pPr>
        <w:keepNext w:val="0"/>
        <w:keepLines w:val="0"/>
        <w:pageBreakBefore w:val="0"/>
        <w:widowControl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w:t>
      </w:r>
      <w:r>
        <w:rPr>
          <w:rFonts w:hint="eastAsia" w:ascii="仿宋_GB2312" w:hAnsi="仿宋_GB2312" w:eastAsia="仿宋_GB2312" w:cs="仿宋_GB2312"/>
          <w:b/>
          <w:bCs/>
          <w:sz w:val="24"/>
          <w:szCs w:val="24"/>
          <w:lang w:val="en-US" w:eastAsia="zh-CN"/>
        </w:rPr>
        <w:t>.</w:t>
      </w:r>
      <w:r>
        <w:rPr>
          <w:rFonts w:hint="eastAsia" w:ascii="仿宋_GB2312" w:hAnsi="仿宋_GB2312" w:eastAsia="仿宋_GB2312" w:cs="仿宋_GB2312"/>
          <w:b/>
          <w:bCs/>
          <w:sz w:val="24"/>
          <w:szCs w:val="24"/>
        </w:rPr>
        <w:t>校外实习基地建设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rPr>
      </w:pPr>
      <w:r>
        <w:rPr>
          <w:rFonts w:hint="eastAsia" w:ascii="仿宋_GB2312" w:hAnsi="仿宋_GB2312" w:eastAsia="仿宋_GB2312" w:cs="仿宋_GB2312"/>
          <w:sz w:val="24"/>
          <w:szCs w:val="24"/>
        </w:rPr>
        <w:t>本专业已建设了10个校外实习基地，这些实习基地的建设为学生参加实习，积累专业和工作经验提供了保障。</w:t>
      </w:r>
    </w:p>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b/>
          <w:bCs/>
          <w:i w:val="0"/>
          <w:color w:val="000000"/>
          <w:kern w:val="0"/>
          <w:sz w:val="21"/>
          <w:szCs w:val="21"/>
          <w:u w:val="none"/>
          <w:lang w:val="en-US" w:eastAsia="zh-CN" w:bidi="ar"/>
        </w:rPr>
      </w:pPr>
      <w:bookmarkStart w:id="1" w:name="_Toc530937971"/>
      <w:r>
        <w:rPr>
          <w:rFonts w:hint="eastAsia" w:ascii="仿宋_GB2312" w:hAnsi="宋体" w:eastAsia="仿宋_GB2312" w:cs="仿宋_GB2312"/>
          <w:b/>
          <w:bCs/>
          <w:i w:val="0"/>
          <w:color w:val="000000"/>
          <w:kern w:val="0"/>
          <w:sz w:val="21"/>
          <w:szCs w:val="21"/>
          <w:u w:val="none"/>
          <w:lang w:val="en-US" w:eastAsia="zh-CN" w:bidi="ar"/>
        </w:rPr>
        <w:t xml:space="preserve"> 实习基地</w:t>
      </w:r>
      <w:bookmarkEnd w:id="1"/>
    </w:p>
    <w:tbl>
      <w:tblPr>
        <w:tblStyle w:val="14"/>
        <w:tblW w:w="7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5141"/>
        <w:gridCol w:w="1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blHeader/>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序号</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基地名称</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b/>
                <w:bCs/>
                <w:i w:val="0"/>
                <w:color w:val="000000"/>
                <w:kern w:val="0"/>
                <w:sz w:val="21"/>
                <w:szCs w:val="21"/>
                <w:u w:val="none"/>
                <w:lang w:val="en-US" w:eastAsia="zh-CN" w:bidi="ar"/>
              </w:rPr>
            </w:pPr>
            <w:r>
              <w:rPr>
                <w:rFonts w:hint="eastAsia" w:ascii="仿宋_GB2312" w:hAnsi="宋体" w:eastAsia="仿宋_GB2312" w:cs="仿宋_GB2312"/>
                <w:b/>
                <w:bCs/>
                <w:i w:val="0"/>
                <w:color w:val="000000"/>
                <w:kern w:val="0"/>
                <w:sz w:val="21"/>
                <w:szCs w:val="21"/>
                <w:u w:val="none"/>
                <w:lang w:val="en-US" w:eastAsia="zh-CN" w:bidi="ar"/>
              </w:rPr>
              <w:t>学生人数/次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江苏传智播客教育科技股份有限公司广州分公司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广州信晟帆布织造有限公司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东软睿道教育信息技术有限公司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4</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中维和创科技有限公司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广州砺锋信息科技有限公司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广东一票科技有限公司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7</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深圳中智经济技术合作有限公司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8</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广州市卓创教育信息科技有限公司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广州粤嵌通信科技股份有限公司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7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w:t>
            </w:r>
          </w:p>
        </w:tc>
        <w:tc>
          <w:tcPr>
            <w:tcW w:w="5141"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金蝶软件（中国）有限公司</w:t>
            </w:r>
          </w:p>
        </w:tc>
        <w:tc>
          <w:tcPr>
            <w:tcW w:w="1677"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30</w:t>
            </w:r>
          </w:p>
        </w:tc>
      </w:tr>
    </w:tbl>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实践基地的主要职能如下：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毕业实习锻炼。本专业实习采用集中+分散方式进行职业能力培养，集中实习由学校统一安排到专业建设的10个校外实习基地进行实习，分散实习由学生自行选择实习单位进行实习。</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创新创业实践。实施1+X（1名企业导师+X为若干名学生）模式开展创新创业项目。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师资培训及师资职业实践。选送教师到基地参加专业技术培训，提高教师的实践教学能力。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校企合作教科研项目。与企业合作共同申报校企合作专业共建、协同育人等教科研项目。</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企业工程师进课堂。充分发挥企业工程师的实践经验优势，聘请企业工程师进校担任紧贴科技前沿的实践性较强的课程教学。</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现有教学资源（含数字化资源）</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kern w:val="2"/>
          <w:sz w:val="24"/>
          <w:szCs w:val="24"/>
          <w:lang w:val="en-US" w:eastAsia="zh-CN"/>
        </w:rPr>
        <w:t>学校建有馆舍面积2.907万平方米的图书馆，藏有纸质图书258万册，其中中文图247.2660万册、外文图书4.5801万册、期刊合订本2.2878万册。图书馆订有现刊830种，其中期刊759种（含外文期刊24种）；报纸71种（含外文报纸3种）。购买超星数字图书馆电子图书31万种，清华同方中国知网（CNKI）七个专辑和中国财经教育资源共享平台。清华同方中国知网（CNKI）七个专辑其中包含中国学术期刊论文、重要会议论文、博、硕士论文、重要报纸全文等约5700多万篇。学校建有校园网，可满足学生对网上文献资源的需求。</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质量管理</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近年来，坚持不断提高人才培养质量的根本任务，逐渐形成符合人才培养目标和学校办学特色的教学质量保障与监控体系。</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细化教学监控体系。通过教学考核、专题教学检查、随堂听课、发放调查问卷、设立教学意见箱、召开师生座谈会等形式，了解教学计划与教学任务落实、教师教学、学生学习、教学保障等情况，实现对教学管理工作多层面监控。</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kern w:val="2"/>
          <w:sz w:val="24"/>
          <w:szCs w:val="24"/>
        </w:rPr>
        <w:t>加强教学质量管理。健全教学质量管理制度、标准及评价办法，为教学良性发展提供科学指导，公开教学质量信息，接受社会公众监督与评价。</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kern w:val="2"/>
          <w:sz w:val="24"/>
          <w:szCs w:val="24"/>
        </w:rPr>
        <w:t>强化考核激励机制。依托教学信息管理系统，分析教学检查、教学督导、师生座谈会、学生评教等各项信息数据，激发师生在教学中主动参与、良性互动的主人翁意识，形成重视教学的工作氛围，规范教学行为，树立教师教学第一的责任意识</w:t>
      </w:r>
      <w:r>
        <w:rPr>
          <w:rFonts w:hint="eastAsia" w:ascii="仿宋_GB2312" w:hAnsi="仿宋_GB2312" w:eastAsia="仿宋_GB2312" w:cs="仿宋_GB2312"/>
          <w:kern w:val="2"/>
          <w:sz w:val="24"/>
          <w:szCs w:val="24"/>
          <w:lang w:eastAsia="zh-CN"/>
        </w:rPr>
        <w:t>。</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6</w:t>
    </w:r>
    <w:r>
      <w:rPr>
        <w:lang w:val="zh-CN"/>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1</w:t>
    </w:r>
    <w:r>
      <w:rPr>
        <w:lang w:val="zh-CN"/>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7B70612"/>
    <w:rsid w:val="16212149"/>
    <w:rsid w:val="1E44603E"/>
    <w:rsid w:val="20BB5004"/>
    <w:rsid w:val="21B925E5"/>
    <w:rsid w:val="23537C98"/>
    <w:rsid w:val="251C140E"/>
    <w:rsid w:val="2E2A34EC"/>
    <w:rsid w:val="3BED08F9"/>
    <w:rsid w:val="4874434D"/>
    <w:rsid w:val="54CD1D8D"/>
    <w:rsid w:val="584541C7"/>
    <w:rsid w:val="61FA6320"/>
    <w:rsid w:val="646C26FF"/>
    <w:rsid w:val="709D6C79"/>
    <w:rsid w:val="73C31611"/>
    <w:rsid w:val="73D12CA2"/>
    <w:rsid w:val="746D16DE"/>
    <w:rsid w:val="7D4647BE"/>
    <w:rsid w:val="7E401DA7"/>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8"/>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9"/>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9"/>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annotation text"/>
    <w:basedOn w:val="1"/>
    <w:unhideWhenUsed/>
    <w:qFormat/>
    <w:uiPriority w:val="99"/>
    <w:pPr>
      <w:jc w:val="left"/>
    </w:pPr>
  </w:style>
  <w:style w:type="paragraph" w:styleId="7">
    <w:name w:val="Date"/>
    <w:basedOn w:val="1"/>
    <w:next w:val="1"/>
    <w:link w:val="20"/>
    <w:qFormat/>
    <w:uiPriority w:val="99"/>
    <w:pPr>
      <w:ind w:left="100" w:leftChars="2500"/>
    </w:pPr>
    <w:rPr>
      <w:rFonts w:cs="Times New Roman"/>
      <w:kern w:val="0"/>
      <w:sz w:val="20"/>
      <w:szCs w:val="20"/>
    </w:rPr>
  </w:style>
  <w:style w:type="paragraph" w:styleId="8">
    <w:name w:val="Balloon Text"/>
    <w:basedOn w:val="1"/>
    <w:link w:val="21"/>
    <w:semiHidden/>
    <w:qFormat/>
    <w:uiPriority w:val="99"/>
    <w:rPr>
      <w:rFonts w:cs="Times New Roman"/>
      <w:kern w:val="0"/>
      <w:sz w:val="18"/>
      <w:szCs w:val="18"/>
    </w:rPr>
  </w:style>
  <w:style w:type="paragraph" w:styleId="9">
    <w:name w:val="footer"/>
    <w:basedOn w:val="1"/>
    <w:link w:val="22"/>
    <w:qFormat/>
    <w:uiPriority w:val="99"/>
    <w:pPr>
      <w:tabs>
        <w:tab w:val="center" w:pos="4153"/>
        <w:tab w:val="right" w:pos="8306"/>
      </w:tabs>
      <w:snapToGrid w:val="0"/>
      <w:jc w:val="left"/>
    </w:pPr>
    <w:rPr>
      <w:rFonts w:cs="Times New Roman"/>
      <w:kern w:val="0"/>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1">
    <w:name w:val="toc 1"/>
    <w:basedOn w:val="1"/>
    <w:next w:val="1"/>
    <w:qFormat/>
    <w:locked/>
    <w:uiPriority w:val="39"/>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Title"/>
    <w:basedOn w:val="1"/>
    <w:next w:val="1"/>
    <w:link w:val="27"/>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99"/>
    <w:rPr>
      <w:b/>
      <w:bCs/>
    </w:rPr>
  </w:style>
  <w:style w:type="character" w:styleId="18">
    <w:name w:val="Hyperlink"/>
    <w:qFormat/>
    <w:uiPriority w:val="99"/>
    <w:rPr>
      <w:color w:val="0000FF"/>
      <w:u w:val="single"/>
    </w:rPr>
  </w:style>
  <w:style w:type="character" w:customStyle="1" w:styleId="19">
    <w:name w:val="标题 2 字符"/>
    <w:link w:val="4"/>
    <w:semiHidden/>
    <w:qFormat/>
    <w:uiPriority w:val="9"/>
    <w:rPr>
      <w:rFonts w:ascii="Cambria" w:hAnsi="Cambria" w:eastAsia="宋体" w:cs="Times New Roman"/>
      <w:b/>
      <w:bCs/>
      <w:sz w:val="32"/>
      <w:szCs w:val="32"/>
    </w:rPr>
  </w:style>
  <w:style w:type="character" w:customStyle="1" w:styleId="20">
    <w:name w:val="日期 字符"/>
    <w:link w:val="7"/>
    <w:semiHidden/>
    <w:qFormat/>
    <w:locked/>
    <w:uiPriority w:val="99"/>
    <w:rPr>
      <w:rFonts w:ascii="Calibri" w:hAnsi="Calibri" w:eastAsia="宋体" w:cs="Calibri"/>
    </w:rPr>
  </w:style>
  <w:style w:type="character" w:customStyle="1" w:styleId="21">
    <w:name w:val="批注框文本 字符"/>
    <w:link w:val="8"/>
    <w:semiHidden/>
    <w:qFormat/>
    <w:locked/>
    <w:uiPriority w:val="99"/>
    <w:rPr>
      <w:rFonts w:ascii="Calibri" w:hAnsi="Calibri" w:eastAsia="宋体" w:cs="Calibri"/>
      <w:sz w:val="18"/>
      <w:szCs w:val="18"/>
    </w:rPr>
  </w:style>
  <w:style w:type="character" w:customStyle="1" w:styleId="22">
    <w:name w:val="页脚 字符"/>
    <w:link w:val="9"/>
    <w:qFormat/>
    <w:locked/>
    <w:uiPriority w:val="99"/>
    <w:rPr>
      <w:rFonts w:ascii="Calibri" w:hAnsi="Calibri" w:eastAsia="宋体" w:cs="Calibri"/>
      <w:sz w:val="18"/>
      <w:szCs w:val="18"/>
    </w:rPr>
  </w:style>
  <w:style w:type="character" w:customStyle="1" w:styleId="23">
    <w:name w:val="页眉 字符"/>
    <w:link w:val="10"/>
    <w:qFormat/>
    <w:locked/>
    <w:uiPriority w:val="99"/>
    <w:rPr>
      <w:rFonts w:ascii="Calibri" w:hAnsi="Calibri" w:eastAsia="宋体" w:cs="Calibri"/>
      <w:sz w:val="18"/>
      <w:szCs w:val="18"/>
    </w:rPr>
  </w:style>
  <w:style w:type="paragraph" w:customStyle="1" w:styleId="24">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5">
    <w:name w:val="List Paragraph1"/>
    <w:basedOn w:val="1"/>
    <w:qFormat/>
    <w:uiPriority w:val="99"/>
    <w:pPr>
      <w:ind w:firstLine="420" w:firstLineChars="200"/>
    </w:pPr>
  </w:style>
  <w:style w:type="paragraph" w:customStyle="1" w:styleId="26">
    <w:name w:val="p0"/>
    <w:basedOn w:val="1"/>
    <w:qFormat/>
    <w:uiPriority w:val="99"/>
    <w:pPr>
      <w:widowControl/>
    </w:pPr>
    <w:rPr>
      <w:kern w:val="0"/>
    </w:rPr>
  </w:style>
  <w:style w:type="character" w:customStyle="1" w:styleId="27">
    <w:name w:val="标题 字符"/>
    <w:link w:val="13"/>
    <w:qFormat/>
    <w:uiPriority w:val="0"/>
    <w:rPr>
      <w:rFonts w:ascii="Cambria" w:hAnsi="Cambria" w:eastAsia="黑体" w:cs="Times New Roman"/>
      <w:b/>
      <w:bCs/>
      <w:sz w:val="36"/>
      <w:szCs w:val="32"/>
    </w:rPr>
  </w:style>
  <w:style w:type="character" w:customStyle="1" w:styleId="28">
    <w:name w:val="标题 1 字符"/>
    <w:link w:val="3"/>
    <w:qFormat/>
    <w:uiPriority w:val="0"/>
    <w:rPr>
      <w:rFonts w:ascii="Calibri" w:hAnsi="Calibri" w:cs="Calibri"/>
      <w:b/>
      <w:bCs/>
      <w:kern w:val="44"/>
      <w:sz w:val="44"/>
      <w:szCs w:val="44"/>
    </w:rPr>
  </w:style>
  <w:style w:type="character" w:customStyle="1" w:styleId="29">
    <w:name w:val="标题 4 字符"/>
    <w:link w:val="5"/>
    <w:semiHidden/>
    <w:qFormat/>
    <w:uiPriority w:val="0"/>
    <w:rPr>
      <w:rFonts w:ascii="Cambria" w:hAnsi="Cambria" w:eastAsia="宋体" w:cs="Times New Roman"/>
      <w:b/>
      <w:bCs/>
      <w:kern w:val="2"/>
      <w:sz w:val="28"/>
      <w:szCs w:val="28"/>
    </w:rPr>
  </w:style>
  <w:style w:type="paragraph" w:customStyle="1" w:styleId="30">
    <w:name w:val="表格内容"/>
    <w:basedOn w:val="1"/>
    <w:qFormat/>
    <w:uiPriority w:val="0"/>
    <w:pPr>
      <w:overflowPunct w:val="0"/>
      <w:adjustRightInd w:val="0"/>
      <w:snapToGrid w:val="0"/>
      <w:jc w:val="center"/>
    </w:pPr>
    <w:rPr>
      <w:rFonts w:ascii="仿宋" w:hAnsi="仿宋" w:cs="仿宋"/>
      <w:szCs w:val="30"/>
    </w:rPr>
  </w:style>
  <w:style w:type="table" w:customStyle="1" w:styleId="31">
    <w:name w:val="Table Normal"/>
    <w:unhideWhenUsed/>
    <w:qFormat/>
    <w:uiPriority w:val="0"/>
    <w:tblPr>
      <w:tblCellMar>
        <w:top w:w="0" w:type="dxa"/>
        <w:left w:w="0" w:type="dxa"/>
        <w:bottom w:w="0" w:type="dxa"/>
        <w:right w:w="0" w:type="dxa"/>
      </w:tblCellMar>
    </w:tblPr>
  </w:style>
  <w:style w:type="paragraph" w:customStyle="1" w:styleId="32">
    <w:name w:val="_Style 4"/>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8392</Words>
  <Characters>9133</Characters>
  <Lines>33</Lines>
  <Paragraphs>9</Paragraphs>
  <TotalTime>0</TotalTime>
  <ScaleCrop>false</ScaleCrop>
  <LinksUpToDate>false</LinksUpToDate>
  <CharactersWithSpaces>9202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2023-06-27T01:21:02Z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103D511D1ED346EF80ED45F73289F549_13</vt:lpwstr>
  </property>
</Properties>
</file>