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line="560" w:lineRule="exact"/>
        <w:ind w:firstLine="0" w:firstLineChars="0"/>
        <w:jc w:val="center"/>
        <w:rPr>
          <w:rFonts w:ascii="华文中宋" w:hAnsi="华文中宋" w:eastAsia="华文中宋" w:cs="华文中宋"/>
          <w:sz w:val="44"/>
          <w:szCs w:val="44"/>
        </w:rPr>
      </w:pPr>
      <w:r>
        <w:rPr>
          <w:rFonts w:hint="eastAsia" w:ascii="华文中宋" w:hAnsi="华文中宋" w:eastAsia="华文中宋" w:cs="华文中宋"/>
          <w:sz w:val="44"/>
          <w:szCs w:val="44"/>
        </w:rPr>
        <w:t>成人高等教育</w:t>
      </w:r>
      <w:r>
        <w:rPr>
          <w:rFonts w:hint="eastAsia" w:ascii="华文中宋" w:hAnsi="华文中宋" w:eastAsia="华文中宋" w:cs="华文中宋"/>
          <w:sz w:val="44"/>
          <w:szCs w:val="44"/>
          <w:lang w:val="en-US" w:eastAsia="zh-CN"/>
        </w:rPr>
        <w:t>新闻学</w:t>
      </w:r>
      <w:r>
        <w:rPr>
          <w:rFonts w:hint="eastAsia" w:ascii="华文中宋" w:hAnsi="华文中宋" w:eastAsia="华文中宋" w:cs="华文中宋"/>
          <w:sz w:val="44"/>
          <w:szCs w:val="44"/>
        </w:rPr>
        <w:t>专业人才培养方案</w:t>
      </w:r>
    </w:p>
    <w:p>
      <w:pPr>
        <w:pStyle w:val="12"/>
        <w:spacing w:line="560" w:lineRule="exact"/>
        <w:ind w:firstLine="0" w:firstLineChars="0"/>
        <w:jc w:val="center"/>
        <w:rPr>
          <w:b w:val="0"/>
          <w:sz w:val="32"/>
        </w:rPr>
      </w:pPr>
      <w:r>
        <w:rPr>
          <w:rFonts w:hint="eastAsia"/>
          <w:b w:val="0"/>
          <w:sz w:val="32"/>
        </w:rPr>
        <w:t>办学层次：专升本</w:t>
      </w:r>
      <w:r>
        <w:rPr>
          <w:rFonts w:hint="eastAsia" w:ascii="黑体" w:hAnsi="黑体"/>
          <w:kern w:val="44"/>
          <w:sz w:val="32"/>
        </w:rPr>
        <w:t xml:space="preserve">     </w:t>
      </w:r>
      <w:r>
        <w:rPr>
          <w:rFonts w:hint="eastAsia"/>
          <w:b w:val="0"/>
          <w:sz w:val="32"/>
        </w:rPr>
        <w:t>学习形式：函授</w:t>
      </w:r>
    </w:p>
    <w:p>
      <w:pPr>
        <w:rPr>
          <w:rFonts w:hint="eastAsia" w:ascii="仿宋_GB2312" w:hAnsi="仿宋_GB2312" w:eastAsia="仿宋_GB2312" w:cs="仿宋_GB2312"/>
          <w:sz w:val="24"/>
          <w:szCs w:val="24"/>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rPr>
      </w:pPr>
      <w:r>
        <w:rPr>
          <w:rFonts w:hint="eastAsia" w:ascii="黑体" w:hAnsi="黑体" w:eastAsia="黑体"/>
          <w:b w:val="0"/>
          <w:bCs w:val="0"/>
          <w:sz w:val="24"/>
          <w:szCs w:val="24"/>
        </w:rPr>
        <w:t>专业名称及代码</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rPr>
        <w:t>专</w:t>
      </w:r>
      <w:r>
        <w:rPr>
          <w:rFonts w:hint="eastAsia" w:ascii="仿宋_GB2312" w:hAnsi="仿宋_GB2312" w:eastAsia="仿宋_GB2312" w:cs="仿宋_GB2312"/>
          <w:sz w:val="24"/>
          <w:szCs w:val="24"/>
          <w:highlight w:val="none"/>
        </w:rPr>
        <w:t>业名称：</w:t>
      </w:r>
      <w:r>
        <w:rPr>
          <w:rFonts w:hint="eastAsia" w:ascii="仿宋_GB2312" w:hAnsi="仿宋_GB2312" w:eastAsia="仿宋_GB2312" w:cs="仿宋_GB2312"/>
          <w:sz w:val="24"/>
          <w:szCs w:val="24"/>
          <w:highlight w:val="none"/>
          <w:lang w:eastAsia="zh-CN"/>
        </w:rPr>
        <w:t>新闻学</w:t>
      </w:r>
      <w:r>
        <w:rPr>
          <w:rFonts w:hint="eastAsia" w:ascii="仿宋_GB2312" w:hAnsi="仿宋_GB2312" w:eastAsia="仿宋_GB2312" w:cs="仿宋_GB2312"/>
          <w:sz w:val="24"/>
          <w:szCs w:val="24"/>
          <w:highlight w:val="none"/>
        </w:rPr>
        <w:t xml:space="preserve">               </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专业门类：</w:t>
      </w:r>
      <w:r>
        <w:rPr>
          <w:rFonts w:hint="eastAsia" w:ascii="仿宋_GB2312" w:hAnsi="仿宋_GB2312" w:eastAsia="仿宋_GB2312" w:cs="仿宋_GB2312"/>
          <w:sz w:val="24"/>
          <w:szCs w:val="24"/>
          <w:highlight w:val="none"/>
          <w:lang w:eastAsia="zh-CN"/>
        </w:rPr>
        <w:t>新闻传播学类</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专业代码：</w:t>
      </w:r>
      <w:r>
        <w:rPr>
          <w:rFonts w:hint="eastAsia" w:ascii="仿宋_GB2312" w:hAnsi="仿宋_GB2312" w:eastAsia="仿宋_GB2312" w:cs="仿宋_GB2312"/>
          <w:sz w:val="24"/>
          <w:szCs w:val="24"/>
          <w:highlight w:val="none"/>
          <w:lang w:eastAsia="zh-CN"/>
        </w:rPr>
        <w:t>050301</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 xml:space="preserve">          </w:t>
      </w:r>
      <w:r>
        <w:rPr>
          <w:rFonts w:hint="eastAsia" w:ascii="仿宋_GB2312" w:hAnsi="仿宋_GB2312" w:eastAsia="仿宋_GB2312" w:cs="仿宋_GB2312"/>
          <w:sz w:val="24"/>
          <w:szCs w:val="24"/>
          <w:highlight w:val="none"/>
          <w:lang w:eastAsia="zh-CN"/>
        </w:rPr>
        <w:t xml:space="preserve"> </w:t>
      </w:r>
      <w:r>
        <w:rPr>
          <w:rFonts w:hint="eastAsia" w:ascii="仿宋_GB2312" w:hAnsi="仿宋_GB2312" w:eastAsia="仿宋_GB2312" w:cs="仿宋_GB2312"/>
          <w:sz w:val="24"/>
          <w:szCs w:val="24"/>
          <w:highlight w:val="none"/>
        </w:rPr>
        <w:t>基本学制：2.5年</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授予学位：</w:t>
      </w:r>
      <w:r>
        <w:rPr>
          <w:rFonts w:hint="eastAsia" w:ascii="仿宋_GB2312" w:hAnsi="仿宋_GB2312" w:eastAsia="仿宋_GB2312" w:cs="仿宋_GB2312"/>
          <w:sz w:val="24"/>
          <w:szCs w:val="24"/>
          <w:highlight w:val="none"/>
          <w:lang w:eastAsia="zh-CN"/>
        </w:rPr>
        <w:t>文学学士</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 xml:space="preserve">    </w:t>
      </w:r>
      <w:r>
        <w:rPr>
          <w:rFonts w:hint="eastAsia" w:ascii="仿宋_GB2312" w:hAnsi="仿宋_GB2312" w:eastAsia="仿宋_GB2312" w:cs="仿宋_GB2312"/>
          <w:sz w:val="24"/>
          <w:szCs w:val="24"/>
          <w:highlight w:val="none"/>
          <w:lang w:eastAsia="zh-CN"/>
        </w:rPr>
        <w:t xml:space="preserve">  </w:t>
      </w:r>
      <w:r>
        <w:rPr>
          <w:rFonts w:hint="eastAsia" w:ascii="仿宋_GB2312" w:hAnsi="仿宋_GB2312" w:eastAsia="仿宋_GB2312" w:cs="仿宋_GB2312"/>
          <w:sz w:val="24"/>
          <w:szCs w:val="24"/>
          <w:highlight w:val="none"/>
        </w:rPr>
        <w:t xml:space="preserve"> 学习年限：2.5-</w:t>
      </w:r>
      <w:r>
        <w:rPr>
          <w:rFonts w:hint="eastAsia" w:ascii="仿宋_GB2312" w:hAnsi="仿宋_GB2312" w:eastAsia="仿宋_GB2312" w:cs="仿宋_GB2312"/>
          <w:sz w:val="24"/>
          <w:szCs w:val="24"/>
          <w:highlight w:val="none"/>
          <w:lang w:val="en-US" w:eastAsia="zh-CN"/>
        </w:rPr>
        <w:t>5</w:t>
      </w:r>
      <w:r>
        <w:rPr>
          <w:rFonts w:hint="eastAsia" w:ascii="仿宋_GB2312" w:hAnsi="仿宋_GB2312" w:eastAsia="仿宋_GB2312" w:cs="仿宋_GB2312"/>
          <w:sz w:val="24"/>
          <w:szCs w:val="24"/>
          <w:highlight w:val="none"/>
        </w:rPr>
        <w:t>年</w:t>
      </w:r>
    </w:p>
    <w:p>
      <w:pPr>
        <w:pStyle w:val="2"/>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入学要求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学员必须取得经教育部审定核准的国民教育系列高等学校、高等教育自学考试机构颁发的专科以上毕业证书，且通过成人高考被我校录取。</w:t>
      </w:r>
    </w:p>
    <w:p>
      <w:pPr>
        <w:pStyle w:val="2"/>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培养目标与</w:t>
      </w:r>
      <w:r>
        <w:rPr>
          <w:rFonts w:hint="eastAsia" w:ascii="黑体" w:hAnsi="黑体" w:eastAsia="黑体"/>
          <w:b w:val="0"/>
          <w:bCs w:val="0"/>
          <w:sz w:val="24"/>
          <w:szCs w:val="24"/>
          <w:highlight w:val="none"/>
          <w:lang w:val="en-US" w:eastAsia="zh-CN"/>
        </w:rPr>
        <w:t>培养</w:t>
      </w:r>
      <w:r>
        <w:rPr>
          <w:rFonts w:hint="eastAsia" w:ascii="黑体" w:hAnsi="黑体" w:eastAsia="黑体"/>
          <w:b w:val="0"/>
          <w:bCs w:val="0"/>
          <w:sz w:val="24"/>
          <w:szCs w:val="24"/>
          <w:highlight w:val="none"/>
        </w:rPr>
        <w:t>规格</w:t>
      </w:r>
    </w:p>
    <w:p>
      <w:pPr>
        <w:pStyle w:val="3"/>
        <w:pageBreakBefore w:val="0"/>
        <w:widowControl w:val="0"/>
        <w:numPr>
          <w:ilvl w:val="0"/>
          <w:numId w:val="2"/>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培养目标</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sz w:val="24"/>
          <w:szCs w:val="24"/>
          <w:highlight w:val="none"/>
          <w:lang w:val="en-US"/>
        </w:rPr>
      </w:pPr>
      <w:r>
        <w:rPr>
          <w:rFonts w:ascii="仿宋_GB2312" w:hAnsi="仿宋_GB2312" w:eastAsia="仿宋_GB2312" w:cs="仿宋_GB2312"/>
          <w:sz w:val="24"/>
          <w:szCs w:val="24"/>
          <w:lang w:val="zh-TW" w:eastAsia="zh-TW"/>
        </w:rPr>
        <w:t>本专业适应区域经济社会发展和新闻传播行业人才需要，立足广东、面向粤港澳大湾区、辐射全国，培养德智体美劳全面发展，掌握新闻传播学理论知识和基本业务技能；具备熟练运用新闻学开展信息制作、传播与新媒体运营和管理等相关能力；能够在新闻传播机构、文化传播机构、政府部门及企事业单位等职业领域胜任新闻采编、媒介策划、宣传管理、广告策划创意，具有国际视野的高素质复合型人才。</w:t>
      </w:r>
    </w:p>
    <w:p>
      <w:pPr>
        <w:pStyle w:val="3"/>
        <w:pageBreakBefore w:val="0"/>
        <w:widowControl w:val="0"/>
        <w:numPr>
          <w:ilvl w:val="0"/>
          <w:numId w:val="2"/>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培养规格</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1.素质要求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ascii="仿宋_GB2312" w:hAnsi="仿宋_GB2312" w:eastAsia="仿宋_GB2312" w:cs="仿宋_GB2312"/>
          <w:sz w:val="24"/>
          <w:szCs w:val="24"/>
          <w:lang w:val="zh-TW" w:eastAsia="zh-TW"/>
        </w:rPr>
        <w:t>（1）政治素质。拥护中国共产党的领导，坚持正确的政治立场和方向，坚持新闻工作的党性原则，坚持马克思主义新闻观，坚持正确舆论导向，维护国家利益，遵纪守法。</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ascii="仿宋_GB2312" w:hAnsi="仿宋_GB2312" w:eastAsia="仿宋_GB2312" w:cs="仿宋_GB2312"/>
          <w:sz w:val="24"/>
          <w:szCs w:val="24"/>
          <w:lang w:val="zh-TW" w:eastAsia="zh-TW"/>
        </w:rPr>
        <w:t>（2）道德素质。坚守新闻真实性等基本准则以及服务国家、服务人民、服务中国特色社会主义的社会责任感和职业理想。</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ascii="仿宋_GB2312" w:hAnsi="仿宋_GB2312" w:eastAsia="仿宋_GB2312" w:cs="仿宋_GB2312"/>
          <w:sz w:val="24"/>
          <w:szCs w:val="24"/>
          <w:lang w:val="zh-TW" w:eastAsia="zh-TW"/>
        </w:rPr>
        <w:t>（3）专业素质。具有清晰的新闻从业者的角色认知，具备积极乐观、竞争协作的良好个性，掌握新闻传播的基本知识和能力，具备创业的基本素质。</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ascii="仿宋_GB2312" w:hAnsi="仿宋_GB2312" w:eastAsia="仿宋_GB2312" w:cs="仿宋_GB2312"/>
          <w:b/>
          <w:bCs/>
          <w:sz w:val="24"/>
          <w:szCs w:val="24"/>
        </w:rPr>
      </w:pPr>
      <w:r>
        <w:rPr>
          <w:rFonts w:ascii="仿宋_GB2312" w:hAnsi="仿宋_GB2312" w:eastAsia="仿宋_GB2312" w:cs="仿宋_GB2312"/>
          <w:b/>
          <w:bCs/>
          <w:sz w:val="24"/>
          <w:szCs w:val="24"/>
          <w:lang w:val="zh-TW" w:eastAsia="zh-TW"/>
        </w:rPr>
        <w:t>2</w:t>
      </w:r>
      <w:r>
        <w:rPr>
          <w:rFonts w:hint="eastAsia" w:ascii="仿宋_GB2312" w:hAnsi="仿宋_GB2312" w:eastAsia="仿宋_GB2312" w:cs="仿宋_GB2312"/>
          <w:b/>
          <w:bCs/>
          <w:sz w:val="24"/>
          <w:szCs w:val="24"/>
          <w:lang w:val="zh-TW" w:eastAsia="zh-CN"/>
        </w:rPr>
        <w:t>.</w:t>
      </w:r>
      <w:r>
        <w:rPr>
          <w:rFonts w:ascii="仿宋_GB2312" w:hAnsi="仿宋_GB2312" w:eastAsia="仿宋_GB2312" w:cs="仿宋_GB2312"/>
          <w:b/>
          <w:bCs/>
          <w:sz w:val="24"/>
          <w:szCs w:val="24"/>
          <w:lang w:val="zh-TW" w:eastAsia="zh-TW"/>
        </w:rPr>
        <w:t>知识要求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ascii="仿宋_GB2312" w:hAnsi="仿宋_GB2312" w:eastAsia="仿宋_GB2312" w:cs="仿宋_GB2312"/>
          <w:sz w:val="24"/>
          <w:szCs w:val="24"/>
          <w:lang w:val="zh-TW" w:eastAsia="zh-TW"/>
        </w:rPr>
        <w:t>（1）掌握新闻传播学相关理论知识和基本业务技能，拥有比较广博和扎实的人文学科和社会科学基本知识。</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ascii="仿宋_GB2312" w:hAnsi="仿宋_GB2312" w:eastAsia="仿宋_GB2312" w:cs="仿宋_GB2312"/>
          <w:sz w:val="24"/>
          <w:szCs w:val="24"/>
          <w:lang w:val="zh-TW" w:eastAsia="zh-TW"/>
        </w:rPr>
        <w:t>（2）了解党和国家新闻宣传的方针、政策和相关法规。</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ascii="仿宋_GB2312" w:hAnsi="仿宋_GB2312" w:eastAsia="仿宋_GB2312" w:cs="仿宋_GB2312"/>
          <w:sz w:val="24"/>
          <w:szCs w:val="24"/>
          <w:lang w:val="zh-TW" w:eastAsia="zh-TW"/>
        </w:rPr>
        <w:t>（3）掌握业界发展现状与变化趋势，了解外国行业和专业发展动态。</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ascii="仿宋_GB2312" w:hAnsi="仿宋_GB2312" w:eastAsia="仿宋_GB2312" w:cs="仿宋_GB2312"/>
          <w:sz w:val="24"/>
          <w:szCs w:val="24"/>
          <w:lang w:val="zh-TW" w:eastAsia="zh-TW"/>
        </w:rPr>
        <w:t>（4）了解并掌握计算机和现代新媒体技术基础知识以及相关应用。</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ascii="仿宋_GB2312" w:hAnsi="仿宋_GB2312" w:eastAsia="仿宋_GB2312" w:cs="仿宋_GB2312"/>
          <w:sz w:val="24"/>
          <w:szCs w:val="24"/>
          <w:lang w:val="zh-TW" w:eastAsia="zh-TW"/>
        </w:rPr>
        <w:t>（5）熟练掌握1门外语，在外语的听、说、读、写、译方面达到较高的实际应用水平。</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ascii="仿宋_GB2312" w:hAnsi="仿宋_GB2312" w:eastAsia="仿宋_GB2312" w:cs="仿宋_GB2312"/>
          <w:sz w:val="24"/>
          <w:szCs w:val="24"/>
          <w:lang w:val="zh-TW" w:eastAsia="zh-TW"/>
        </w:rPr>
        <w:t>（6）掌握科学的辩证思维方法，具有基本的人文社会科学调查研究能力。</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ascii="仿宋_GB2312" w:hAnsi="仿宋_GB2312" w:eastAsia="仿宋_GB2312" w:cs="仿宋_GB2312"/>
          <w:sz w:val="24"/>
          <w:szCs w:val="24"/>
          <w:lang w:val="zh-TW" w:eastAsia="zh-TW"/>
        </w:rPr>
        <w:t>（7）掌握媒介经营管理的相关原理和知识，具备一定的市场营销、媒介调查、媒体策划与运营等方面的知识和能力。</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ascii="仿宋_GB2312" w:hAnsi="仿宋_GB2312" w:eastAsia="仿宋_GB2312" w:cs="仿宋_GB2312"/>
          <w:sz w:val="24"/>
          <w:szCs w:val="24"/>
          <w:lang w:val="zh-TW" w:eastAsia="zh-TW"/>
        </w:rPr>
        <w:t>（8）了解并掌握创新创业的基本知识与技能，具备创新思维与一定的创业素质与能力。</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ascii="仿宋_GB2312" w:hAnsi="仿宋_GB2312" w:eastAsia="仿宋_GB2312" w:cs="仿宋_GB2312"/>
          <w:b/>
          <w:bCs/>
          <w:sz w:val="24"/>
          <w:szCs w:val="24"/>
        </w:rPr>
      </w:pPr>
      <w:r>
        <w:rPr>
          <w:rFonts w:ascii="仿宋_GB2312" w:hAnsi="仿宋_GB2312" w:eastAsia="仿宋_GB2312" w:cs="仿宋_GB2312"/>
          <w:b/>
          <w:bCs/>
          <w:sz w:val="24"/>
          <w:szCs w:val="24"/>
          <w:lang w:val="zh-TW" w:eastAsia="zh-TW"/>
        </w:rPr>
        <w:t>3</w:t>
      </w:r>
      <w:r>
        <w:rPr>
          <w:rFonts w:hint="eastAsia" w:ascii="仿宋_GB2312" w:hAnsi="仿宋_GB2312" w:eastAsia="仿宋_GB2312" w:cs="仿宋_GB2312"/>
          <w:b/>
          <w:bCs/>
          <w:sz w:val="24"/>
          <w:szCs w:val="24"/>
          <w:lang w:val="zh-TW" w:eastAsia="zh-CN"/>
        </w:rPr>
        <w:t>.</w:t>
      </w:r>
      <w:r>
        <w:rPr>
          <w:rFonts w:ascii="仿宋_GB2312" w:hAnsi="仿宋_GB2312" w:eastAsia="仿宋_GB2312" w:cs="仿宋_GB2312"/>
          <w:b/>
          <w:bCs/>
          <w:sz w:val="24"/>
          <w:szCs w:val="24"/>
          <w:lang w:val="zh-TW" w:eastAsia="zh-TW"/>
        </w:rPr>
        <w:t>能力要求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ascii="仿宋_GB2312" w:hAnsi="仿宋_GB2312" w:eastAsia="仿宋_GB2312" w:cs="仿宋_GB2312"/>
          <w:sz w:val="24"/>
          <w:szCs w:val="24"/>
          <w:lang w:val="zh-TW" w:eastAsia="zh-TW"/>
        </w:rPr>
        <w:t>（1）具备与新闻传播学类工作相适应的理论学习能力，并掌握持续学习的方法。</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ascii="仿宋_GB2312" w:hAnsi="仿宋_GB2312" w:eastAsia="仿宋_GB2312" w:cs="仿宋_GB2312"/>
          <w:sz w:val="24"/>
          <w:szCs w:val="24"/>
          <w:lang w:val="zh-TW" w:eastAsia="zh-TW"/>
        </w:rPr>
        <w:t>（2）具备与新闻传播实践的发展变化相适应的业务动手能力和实践创新能力。</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ascii="仿宋_GB2312" w:hAnsi="仿宋_GB2312" w:eastAsia="仿宋_GB2312" w:cs="仿宋_GB2312"/>
          <w:sz w:val="24"/>
          <w:szCs w:val="24"/>
          <w:lang w:val="zh-TW" w:eastAsia="zh-TW"/>
        </w:rPr>
        <w:t>（3）具备良好的语言文字表达能力与沟通能力。</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ascii="仿宋_GB2312" w:hAnsi="仿宋_GB2312" w:eastAsia="仿宋_GB2312" w:cs="仿宋_GB2312"/>
          <w:sz w:val="24"/>
          <w:szCs w:val="24"/>
          <w:lang w:val="zh-TW" w:eastAsia="zh-TW"/>
        </w:rPr>
        <w:t>（4）具备计算机和现代新媒体技术的应用能力。</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ascii="仿宋_GB2312" w:hAnsi="仿宋_GB2312" w:eastAsia="仿宋_GB2312" w:cs="仿宋_GB2312"/>
          <w:sz w:val="24"/>
          <w:szCs w:val="24"/>
          <w:lang w:val="zh-TW" w:eastAsia="zh-TW"/>
        </w:rPr>
        <w:t>（5）掌握社会科学研究的基本方法，具备初步的社会科学调查与研究能力。</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ascii="仿宋_GB2312" w:hAnsi="仿宋_GB2312" w:eastAsia="仿宋_GB2312" w:cs="仿宋_GB2312"/>
          <w:b/>
          <w:bCs/>
          <w:sz w:val="24"/>
          <w:szCs w:val="24"/>
        </w:rPr>
      </w:pPr>
      <w:r>
        <w:rPr>
          <w:rFonts w:ascii="仿宋_GB2312" w:hAnsi="仿宋_GB2312" w:eastAsia="仿宋_GB2312" w:cs="仿宋_GB2312"/>
          <w:b/>
          <w:bCs/>
          <w:sz w:val="24"/>
          <w:szCs w:val="24"/>
          <w:lang w:val="zh-TW" w:eastAsia="zh-TW"/>
        </w:rPr>
        <w:t>4</w:t>
      </w:r>
      <w:r>
        <w:rPr>
          <w:rFonts w:hint="eastAsia" w:ascii="仿宋_GB2312" w:hAnsi="仿宋_GB2312" w:eastAsia="仿宋_GB2312" w:cs="仿宋_GB2312"/>
          <w:b/>
          <w:bCs/>
          <w:sz w:val="24"/>
          <w:szCs w:val="24"/>
          <w:lang w:val="zh-TW" w:eastAsia="zh-CN"/>
        </w:rPr>
        <w:t>.</w:t>
      </w:r>
      <w:r>
        <w:rPr>
          <w:rFonts w:ascii="仿宋_GB2312" w:hAnsi="仿宋_GB2312" w:eastAsia="仿宋_GB2312" w:cs="仿宋_GB2312"/>
          <w:b/>
          <w:bCs/>
          <w:sz w:val="24"/>
          <w:szCs w:val="24"/>
          <w:lang w:val="zh-TW" w:eastAsia="zh-TW"/>
        </w:rPr>
        <w:t>技能要求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ascii="仿宋_GB2312" w:hAnsi="仿宋_GB2312" w:eastAsia="仿宋_GB2312" w:cs="仿宋_GB2312"/>
          <w:sz w:val="24"/>
          <w:szCs w:val="24"/>
          <w:lang w:val="zh-TW" w:eastAsia="zh-TW"/>
        </w:rPr>
        <w:t>（1）掌握汉语口语、书面表达的技能。</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ascii="仿宋_GB2312" w:hAnsi="仿宋_GB2312" w:eastAsia="仿宋_GB2312" w:cs="仿宋_GB2312"/>
          <w:sz w:val="24"/>
          <w:szCs w:val="24"/>
          <w:lang w:val="zh-TW" w:eastAsia="zh-TW"/>
        </w:rPr>
        <w:t>（2）掌握新闻采访、写作、编辑、评论等专业技能。</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ascii="仿宋_GB2312" w:hAnsi="仿宋_GB2312" w:eastAsia="仿宋_GB2312" w:cs="仿宋_GB2312"/>
          <w:sz w:val="24"/>
          <w:szCs w:val="24"/>
          <w:lang w:val="zh-TW" w:eastAsia="zh-TW"/>
        </w:rPr>
        <w:t>（3）掌握新闻专业相关的摄影、摄像等专业技能。</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ascii="仿宋_GB2312" w:hAnsi="仿宋_GB2312" w:eastAsia="仿宋_GB2312" w:cs="仿宋_GB2312"/>
          <w:sz w:val="24"/>
          <w:szCs w:val="24"/>
          <w:lang w:val="zh-TW" w:eastAsia="zh-TW"/>
        </w:rPr>
        <w:t>（4）具备必要的外语、计算机及信息技术应用、数据库应用方面的技能。</w:t>
      </w:r>
    </w:p>
    <w:p>
      <w:pPr>
        <w:rPr>
          <w:rFonts w:ascii="黑体" w:hAnsi="黑体" w:eastAsia="黑体"/>
          <w:b w:val="0"/>
          <w:bCs w:val="0"/>
          <w:sz w:val="24"/>
          <w:szCs w:val="24"/>
          <w:highlight w:val="none"/>
        </w:rPr>
      </w:pPr>
      <w:r>
        <w:rPr>
          <w:rFonts w:hint="eastAsia" w:ascii="黑体" w:hAnsi="黑体" w:eastAsia="黑体"/>
          <w:b w:val="0"/>
          <w:bCs w:val="0"/>
          <w:sz w:val="24"/>
          <w:szCs w:val="24"/>
          <w:highlight w:val="none"/>
          <w:lang w:val="en-US" w:eastAsia="zh-CN"/>
        </w:rPr>
        <w:br w:type="page"/>
      </w: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lang w:val="en-US" w:eastAsia="zh-CN"/>
        </w:rPr>
        <w:t>课程设置</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课程设置分为</w:t>
      </w:r>
      <w:r>
        <w:rPr>
          <w:rFonts w:hint="eastAsia" w:ascii="仿宋_GB2312" w:hAnsi="仿宋_GB2312" w:eastAsia="仿宋_GB2312" w:cs="仿宋_GB2312"/>
          <w:sz w:val="24"/>
          <w:szCs w:val="24"/>
          <w:highlight w:val="none"/>
          <w:lang w:val="en-US" w:eastAsia="zh-CN"/>
        </w:rPr>
        <w:t>通识教育课程、学科基础课程</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专业课</w:t>
      </w:r>
      <w:r>
        <w:rPr>
          <w:rFonts w:hint="eastAsia" w:ascii="仿宋_GB2312" w:hAnsi="仿宋_GB2312" w:eastAsia="仿宋_GB2312" w:cs="仿宋_GB2312"/>
          <w:sz w:val="24"/>
          <w:szCs w:val="24"/>
          <w:highlight w:val="none"/>
          <w:lang w:val="en-US" w:eastAsia="zh-CN"/>
        </w:rPr>
        <w:t>程三</w:t>
      </w:r>
      <w:r>
        <w:rPr>
          <w:rFonts w:hint="eastAsia" w:ascii="仿宋_GB2312" w:hAnsi="仿宋_GB2312" w:eastAsia="仿宋_GB2312" w:cs="仿宋_GB2312"/>
          <w:sz w:val="24"/>
          <w:szCs w:val="24"/>
          <w:highlight w:val="none"/>
        </w:rPr>
        <w:t>类。</w:t>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表一：通识教育课程设置一览表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1808"/>
        <w:gridCol w:w="7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思想道德与法治</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color w:val="000000"/>
                <w:kern w:val="0"/>
                <w:sz w:val="21"/>
                <w:szCs w:val="21"/>
                <w:highlight w:val="none"/>
                <w:lang w:bidi="ar"/>
              </w:rPr>
              <w:t>本课程主要目的是针对大学生成长过程中面临的思想道德和法律问题，开展马克思主义的世界观、人生观、价值观、道德观、法治观教育，来引导大学生提高思想道德素质和法治素养，成长为自觉担当民族复兴大任的时代新人</w:t>
            </w:r>
            <w:r>
              <w:rPr>
                <w:rFonts w:hint="eastAsia" w:ascii="仿宋_GB2312" w:hAnsi="仿宋_GB2312" w:eastAsia="仿宋_GB2312" w:cs="仿宋_GB2312"/>
                <w:color w:val="000000"/>
                <w:kern w:val="0"/>
                <w:sz w:val="21"/>
                <w:szCs w:val="21"/>
                <w:highlight w:val="none"/>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中国近代史纲要</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是全国高等学校本科生必修的一门思想政治理论课，主要讲授近现代中国社会发展和革命、建设、改革的历史进程，总结其内在规律性，引导大学生了解国情、国史，深刻领会历史和人民怎样选择了马克思主义，选择了中国共产党，选择了社会主义道路，选择了改革开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形势与政策Ⅰ</w:t>
            </w:r>
          </w:p>
        </w:tc>
        <w:tc>
          <w:tcPr>
            <w:tcW w:w="3665"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课程</w:t>
            </w:r>
            <w:r>
              <w:rPr>
                <w:rFonts w:hint="eastAsia" w:ascii="仿宋_GB2312" w:hAnsi="仿宋_GB2312" w:eastAsia="仿宋_GB2312" w:cs="仿宋_GB2312"/>
                <w:color w:val="000000"/>
                <w:kern w:val="0"/>
                <w:sz w:val="21"/>
                <w:szCs w:val="21"/>
                <w:highlight w:val="none"/>
                <w:lang w:bidi="ar"/>
              </w:rPr>
              <w:t>通过开展党和国家重大方针政策、重大活动和重大改革措施教育，开展我国改革开放和社会主义现代化建设的形势、任务和发展成就教育，开展当前国际形势与国际关系的状况、发展趋势和我国的对外政策教育，引导大学生遵循正确的观点和科学的方法分析判断形势，全面准确地理解党的路线、方针和政策，不断提高大学生认识把握形势的能力，进而坚定大学生走中国特色社会主义道路的理想信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形势与政策Ⅱ</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形势与政策Ⅲ</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形势与政策Ⅳ</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val="en-US" w:eastAsia="zh-CN" w:bidi="ar"/>
              </w:rPr>
              <w:t>马克思主义基本原理概论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作为高校思想政治理论课程体系的主干课程，是一门系统讲授马克思主义基本理论的课程，涵盖了包括马克思主义哲学、政治经济学和科学社会主义三个重要组成部分在内的全部重要内容。该课程是对大学生进行远大的理想信念教育及正确的世界观、人生观、价值观教育的主渠道，它肩负着培养什么人、怎样培养人、为谁培养人的重要使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毛泽东思想</w:t>
            </w:r>
            <w:r>
              <w:rPr>
                <w:rFonts w:hint="default" w:ascii="仿宋_GB2312" w:hAnsi="仿宋_GB2312" w:eastAsia="仿宋_GB2312" w:cs="仿宋_GB2312"/>
                <w:color w:val="000000"/>
                <w:kern w:val="0"/>
                <w:sz w:val="21"/>
                <w:szCs w:val="21"/>
                <w:highlight w:val="none"/>
                <w:lang w:bidi="ar"/>
              </w:rPr>
              <w:t>和</w:t>
            </w:r>
            <w:r>
              <w:rPr>
                <w:rFonts w:hint="eastAsia" w:ascii="仿宋_GB2312" w:hAnsi="仿宋_GB2312" w:eastAsia="仿宋_GB2312" w:cs="仿宋_GB2312"/>
                <w:color w:val="000000"/>
                <w:kern w:val="0"/>
                <w:sz w:val="21"/>
                <w:szCs w:val="21"/>
                <w:highlight w:val="none"/>
                <w:lang w:bidi="ar"/>
              </w:rPr>
              <w:t>中国特色社会主义理论体系概论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着重讲述马克思主义中国化的重大理论成果的形成、发展及其理论价值与实践价值的重要思想政治理论课。是大学生学习和掌握中国化马克思主义重要理论成果及其价值的主渠道。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6</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习近平新时代中国特色社会主义思想概论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0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Cs w:val="21"/>
                <w:lang w:val="en-US" w:eastAsia="zh-CN"/>
              </w:rPr>
              <w:t>本</w:t>
            </w:r>
            <w:r>
              <w:rPr>
                <w:rFonts w:hint="eastAsia" w:ascii="仿宋_GB2312" w:hAnsi="仿宋_GB2312" w:eastAsia="仿宋_GB2312" w:cs="仿宋_GB2312"/>
                <w:szCs w:val="21"/>
              </w:rPr>
              <w:t>课程</w:t>
            </w:r>
            <w:r>
              <w:rPr>
                <w:rFonts w:hint="eastAsia" w:ascii="仿宋_GB2312" w:hAnsi="仿宋_GB2312" w:eastAsia="仿宋_GB2312" w:cs="仿宋_GB2312"/>
                <w:szCs w:val="21"/>
                <w:lang w:val="en-US" w:eastAsia="zh-CN"/>
              </w:rPr>
              <w:t>旨</w:t>
            </w:r>
            <w:r>
              <w:rPr>
                <w:rFonts w:hint="eastAsia" w:ascii="仿宋_GB2312" w:hAnsi="仿宋_GB2312" w:eastAsia="仿宋_GB2312" w:cs="仿宋_GB2312"/>
                <w:szCs w:val="21"/>
              </w:rPr>
              <w:t>帮助学生深入学习领会习近平新时代中国特色社会主义思想的核心要义、精神实质、丰富内涵、实践要求的理解与掌握程度，提高学生运用所学知识、基本原理去分析与解决问题的能力，加深对中国新时代中国特色社会主义建设实践的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7</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党史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充分吸收党史研究最新成果，以史论结合的形式，重点叙述和评价重大历史事件和重要历史人物、重大方针政策和重要战略部署、重大理论创新成果及其发展历程；深入阐释中国共产党为什么“能”、马克思主义为什么“行”、中国特色社会主义为什么“好”的道理；着力弘扬中国共产党人的崇高革命精神和风范；深刻解读历史性变革中蕴藏的内在逻辑，历史性成就背后的道路、理论、制度、文化优势，文风朴实、通俗易懂，是全党特别是基层党员干部学习党的历史的重要读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8</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新中国史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本课程讲述了中国共产党团结带领全国各族人民在经济、政治、文化、社会、生态文明建设以及国防和军队、“一国两制”和祖国统一、外交、党的建设等各方面取得的伟大成就和宝贵经验，突出展示了党的十八大以来，在以习近平同志为核心的党中央坚强领导下，中国实现了第一个百年奋斗目标，在中华大地上全面建成了小康社会，历史性地解决了绝对贫困问题，各项事业取得了历史性成就、发生了历史性变革，正在向着全面建成社会主义现代化强国的第二个百年奋斗目标、实现中华民族伟大复兴的中国梦迈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9</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改革开放史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坚持以习近平新时代中国特色社会主义思想为指导，全面贯彻习近平总书记关于党史、新中国史、改革开放史、社会主义发展史的重要论述，充分体现习近平总书记在庆祝中国共产党成立100周年大会上的重要讲话精神，以我们党关于历史问题的两个决议和党中央有关精神为依据，准确、深刻、简明地阐述了中华人民共和国70多年砥砺奋斗史，我国改革开放40多年壮阔实践史、社会主义500多年探索发展史，对于帮助</w:t>
            </w:r>
            <w:r>
              <w:rPr>
                <w:rFonts w:hint="eastAsia" w:ascii="仿宋_GB2312" w:hAnsi="仿宋_GB2312" w:eastAsia="仿宋_GB2312" w:cs="仿宋_GB2312"/>
                <w:color w:val="000000"/>
                <w:kern w:val="0"/>
                <w:sz w:val="21"/>
                <w:szCs w:val="21"/>
                <w:highlight w:val="none"/>
                <w:lang w:val="en-US" w:eastAsia="zh-CN" w:bidi="ar"/>
              </w:rPr>
              <w:t>学生</w:t>
            </w:r>
            <w:r>
              <w:rPr>
                <w:rFonts w:hint="eastAsia" w:ascii="仿宋_GB2312" w:hAnsi="仿宋_GB2312" w:eastAsia="仿宋_GB2312" w:cs="仿宋_GB2312"/>
                <w:color w:val="000000"/>
                <w:kern w:val="0"/>
                <w:sz w:val="21"/>
                <w:szCs w:val="21"/>
                <w:highlight w:val="none"/>
                <w:lang w:bidi="ar"/>
              </w:rPr>
              <w:t>学习理解历史、树立正确历史观，更加自觉地坚持以史为鉴、开创未来具有重要意义。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10</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社会主义发展史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从空想社会主义的产生和发展、科学社会主义的创立及其实践、世界社会主义的曲折与奋起、中国特色社会主义开辟社会主义新纪元、中国特色社会主义进入新时代等方面准确、深刻、简明地阐述了社会主义500多年探索发展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11</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心理健康</w:t>
            </w:r>
          </w:p>
        </w:tc>
        <w:tc>
          <w:tcPr>
            <w:tcW w:w="3665" w:type="pct"/>
            <w:vAlign w:val="center"/>
          </w:tcPr>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旨在使学生明确心理健康的标准及意义，增强自我心理保健意识和心理危机预防意识，掌握并应用心理健康知识，培养自我认知能力，人际沟通能力、自我调节能力，切实提高心理素质，促进学生全面发展。通过课程教学，使学生在知识、能力、素质三个方面达到以上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kern w:val="0"/>
                <w:sz w:val="21"/>
                <w:szCs w:val="21"/>
                <w:highlight w:val="none"/>
                <w:vertAlign w:val="baseline"/>
                <w:lang w:val="en-US" w:eastAsia="zh-CN" w:bidi="ar-SA"/>
              </w:rPr>
            </w:pPr>
            <w:r>
              <w:rPr>
                <w:rFonts w:hint="eastAsia" w:ascii="仿宋_GB2312" w:hAnsi="仿宋_GB2312" w:eastAsia="仿宋_GB2312" w:cs="仿宋_GB2312"/>
                <w:color w:val="000000"/>
                <w:kern w:val="0"/>
                <w:sz w:val="21"/>
                <w:szCs w:val="21"/>
                <w:highlight w:val="none"/>
                <w:lang w:bidi="ar"/>
              </w:rPr>
              <w:t>计算机应用基础</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kern w:val="0"/>
                <w:sz w:val="21"/>
                <w:szCs w:val="21"/>
                <w:highlight w:val="none"/>
                <w:vertAlign w:val="baseline"/>
                <w:lang w:val="en-US" w:eastAsia="zh-CN" w:bidi="ar-SA"/>
              </w:rPr>
            </w:pPr>
            <w:r>
              <w:rPr>
                <w:rFonts w:hint="eastAsia" w:ascii="仿宋_GB2312" w:hAnsi="仿宋_GB2312" w:eastAsia="仿宋_GB2312" w:cs="仿宋_GB2312"/>
                <w:color w:val="000000"/>
                <w:kern w:val="0"/>
                <w:sz w:val="21"/>
                <w:szCs w:val="21"/>
                <w:highlight w:val="none"/>
                <w:lang w:bidi="ar"/>
              </w:rPr>
              <w:t>本课程是培养学生计算机应用的能力，提高学生的信息素养，为后继的计算机课程和专业课程的学习打下必备的计算机基础知识和技能。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401"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13</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大学英语Ⅰ</w:t>
            </w:r>
          </w:p>
        </w:tc>
        <w:tc>
          <w:tcPr>
            <w:tcW w:w="3665"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该课程属基本素质课，旨在让学生熟悉掌握日常生活中经常使用的英语基础知识与书面用语，具备一定的英语思维习惯，能够进行基本的日常交际会话；在加强英语语言基础知识和基本技能的同时，了解职场语言文化知识和通用的职场沟通技能，以交际为目的，培养学生的社会适应性、提高其自主学习能力、就业能力，满足学生初入职场的实际需求，为将来的就业工作做好充分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401" w:type="pct"/>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pP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大学英语Ⅱ</w:t>
            </w:r>
          </w:p>
        </w:tc>
        <w:tc>
          <w:tcPr>
            <w:tcW w:w="3665" w:type="pct"/>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p>
        </w:tc>
      </w:tr>
    </w:tbl>
    <w:p>
      <w:pPr>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br w:type="page"/>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default" w:eastAsia="仿宋_GB2312"/>
          <w:b/>
          <w:bCs/>
          <w:sz w:val="24"/>
          <w:szCs w:val="24"/>
          <w:lang w:val="en-US" w:eastAsia="zh-CN"/>
        </w:rPr>
      </w:pPr>
      <w:r>
        <w:rPr>
          <w:rFonts w:hint="eastAsia" w:ascii="黑体" w:hAnsi="黑体" w:eastAsia="黑体" w:cs="黑体"/>
          <w:b/>
          <w:bCs/>
          <w:sz w:val="24"/>
          <w:szCs w:val="24"/>
          <w:lang w:val="en-US" w:eastAsia="zh-CN"/>
        </w:rPr>
        <w:t>表二：学科基础课程设置一览表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6"/>
        <w:gridCol w:w="1808"/>
        <w:gridCol w:w="7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180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themeColor="text1"/>
                <w:kern w:val="0"/>
                <w:sz w:val="21"/>
                <w:szCs w:val="21"/>
                <w:lang w:val="zh-TW" w:eastAsia="zh-TW"/>
                <w14:textFill>
                  <w14:solidFill>
                    <w14:schemeClr w14:val="tx1"/>
                  </w14:solidFill>
                </w14:textFill>
              </w:rPr>
              <w:t>新闻学概论</w:t>
            </w:r>
          </w:p>
        </w:tc>
        <w:tc>
          <w:tcPr>
            <w:tcW w:w="7091" w:type="dxa"/>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color w:val="000000" w:themeColor="text1"/>
                <w:kern w:val="0"/>
                <w:sz w:val="21"/>
                <w:szCs w:val="21"/>
                <w:lang w:val="zh-TW" w:eastAsia="zh-TW"/>
                <w14:textFill>
                  <w14:solidFill>
                    <w14:schemeClr w14:val="tx1"/>
                  </w14:solidFill>
                </w14:textFill>
              </w:rPr>
              <w:t>本课程是新闻传播学专业的基础课程之一，是研究新闻的性质、特征、发生、发展、传播及其规律的一门学科。它既是对新闻学基本原理的理论阐述，也是对人类新闻实践活动的高度概括和总结，对新闻以及新闻传播活动内在规律的认识和把握。因此，高校新闻传播专业的学生必须掌握新闻学的基本理论知识，以便在今后的新闻工作中，能够以良好的理论素养指导新闻实践，并尝试解决新闻实践中不断出现的新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180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kern w:val="0"/>
                <w:sz w:val="21"/>
                <w:szCs w:val="21"/>
                <w:rtl w:val="0"/>
                <w:lang w:val="zh-TW" w:eastAsia="zh-TW"/>
              </w:rPr>
              <w:t>基础写作</w:t>
            </w:r>
          </w:p>
        </w:tc>
        <w:tc>
          <w:tcPr>
            <w:tcW w:w="7091" w:type="dxa"/>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kern w:val="0"/>
                <w:sz w:val="21"/>
                <w:szCs w:val="21"/>
                <w:rtl w:val="0"/>
                <w:lang w:val="zh-TW" w:eastAsia="zh-TW"/>
              </w:rPr>
              <w:t>“基础写作”是高校各专业尤其是文学学科的一门必修基础课，它兼具理论性、实践性和应用性。它既区别于基础教育阶段的作文教学而突出系统的知识传授与技能训练；又区别于专门领域的应用写作教学；它应该是中小学阶段学习成果的归纳，又为今后的应用写作学习夯实基础。在新闻学或相近专业，本课程旨在让学生掌握书面语言表达的一般规律和高阶能力，它和语言学课程、文学课程、逻辑思维类课程都有紧密的联系，从而构建科学的理论体系并丰富实践经验。本课程紧跟科技进步的步伐，充分注意写作工具和写作载体的变化，结合智能工具的发展，更新教学内容。适当运用近年总结的混合式教学方法，调动学生建构式学习的积极性，发挥立体化教材的优势，利用网络资源，拓展课堂教学，加大技能训练，提高教学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180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themeColor="text1"/>
                <w:sz w:val="21"/>
                <w:szCs w:val="21"/>
                <w:lang w:eastAsia="zh-CN"/>
                <w14:textFill>
                  <w14:solidFill>
                    <w14:schemeClr w14:val="tx1"/>
                  </w14:solidFill>
                </w14:textFill>
              </w:rPr>
              <w:t>基础摄影</w:t>
            </w:r>
          </w:p>
        </w:tc>
        <w:tc>
          <w:tcPr>
            <w:tcW w:w="7091" w:type="dxa"/>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themeColor="text1"/>
                <w:sz w:val="21"/>
                <w:szCs w:val="21"/>
                <w14:textFill>
                  <w14:solidFill>
                    <w14:schemeClr w14:val="tx1"/>
                  </w14:solidFill>
                </w14:textFill>
              </w:rPr>
              <w:t>本</w:t>
            </w:r>
            <w:r>
              <w:rPr>
                <w:rFonts w:hint="eastAsia" w:ascii="仿宋_GB2312" w:hAnsi="仿宋_GB2312" w:eastAsia="仿宋_GB2312" w:cs="仿宋_GB2312"/>
                <w:color w:val="000000" w:themeColor="text1"/>
                <w:sz w:val="21"/>
                <w:szCs w:val="21"/>
                <w:lang w:eastAsia="zh-CN"/>
                <w14:textFill>
                  <w14:solidFill>
                    <w14:schemeClr w14:val="tx1"/>
                  </w14:solidFill>
                </w14:textFill>
              </w:rPr>
              <w:t>课程</w:t>
            </w:r>
            <w:r>
              <w:rPr>
                <w:rFonts w:hint="eastAsia" w:ascii="仿宋_GB2312" w:hAnsi="仿宋_GB2312" w:eastAsia="仿宋_GB2312" w:cs="仿宋_GB2312"/>
                <w:color w:val="000000" w:themeColor="text1"/>
                <w:sz w:val="21"/>
                <w:szCs w:val="21"/>
                <w14:textFill>
                  <w14:solidFill>
                    <w14:schemeClr w14:val="tx1"/>
                  </w14:solidFill>
                </w14:textFill>
              </w:rPr>
              <w:t>以详细系统的摄影技术技巧和学生的课堂作业为主的实践教学，是让学生熟练掌握普通摄影工具的使用方法和技术功能，掌握摄影的各个机械技巧和人为技巧，引导学生对社会责任的主观判断和自身的创造性的影像创作。积极把握摄影教育的发展方向，用最新的观念引导教学实践</w:t>
            </w:r>
            <w:r>
              <w:rPr>
                <w:rFonts w:hint="eastAsia" w:ascii="仿宋_GB2312" w:hAnsi="仿宋_GB2312" w:eastAsia="仿宋_GB2312" w:cs="仿宋_GB2312"/>
                <w:color w:val="000000" w:themeColor="text1"/>
                <w:sz w:val="21"/>
                <w:szCs w:val="21"/>
                <w:lang w:eastAsia="zh-CN"/>
                <w14:textFill>
                  <w14:solidFill>
                    <w14:schemeClr w14:val="tx1"/>
                  </w14:solidFill>
                </w14:textFill>
              </w:rPr>
              <w:t>，</w:t>
            </w:r>
            <w:r>
              <w:rPr>
                <w:rFonts w:hint="eastAsia" w:ascii="仿宋_GB2312" w:hAnsi="仿宋_GB2312" w:eastAsia="仿宋_GB2312" w:cs="仿宋_GB2312"/>
                <w:color w:val="000000" w:themeColor="text1"/>
                <w:sz w:val="21"/>
                <w:szCs w:val="21"/>
                <w14:textFill>
                  <w14:solidFill>
                    <w14:schemeClr w14:val="tx1"/>
                  </w14:solidFill>
                </w14:textFill>
              </w:rPr>
              <w:t>帮助学生最快地掌握基础摄影的技巧。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180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kern w:val="0"/>
                <w:sz w:val="21"/>
                <w:szCs w:val="21"/>
                <w:rtl w:val="0"/>
                <w:lang w:val="zh-TW" w:eastAsia="zh-TW"/>
              </w:rPr>
              <w:t>传播学概论</w:t>
            </w:r>
          </w:p>
        </w:tc>
        <w:tc>
          <w:tcPr>
            <w:tcW w:w="7091" w:type="dxa"/>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kern w:val="0"/>
                <w:sz w:val="21"/>
                <w:szCs w:val="21"/>
                <w:rtl w:val="0"/>
                <w:lang w:val="zh-TW" w:eastAsia="zh-TW"/>
              </w:rPr>
              <w:t>本课程是为新闻学专业开设的专业必修课。这门课将围绕传播学研究对象、研究方法、传播历史、人类传播的符号和意义、人类传播的过程与系统结构、人类传播的类型（人内传播、人际传播、群体传播、集合行为、组织传播、大众传播等）、媒介技术与媒介组织、传播制度与媒介规范理论、社会转型与受众变迁、传播效果研究、国际传播等内容进行介绍，并通过课堂的讨论与课后阅读，理解各个理论的逻辑与适用范围，并且学习建构理论过程中的思维方式和具体的研究方法，并能将其应用到将来的研究、工作与生活之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180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themeColor="text1"/>
                <w:sz w:val="21"/>
                <w:szCs w:val="21"/>
                <w:lang w:eastAsia="zh-CN"/>
                <w14:textFill>
                  <w14:solidFill>
                    <w14:schemeClr w14:val="tx1"/>
                  </w14:solidFill>
                </w14:textFill>
              </w:rPr>
              <w:t>社会学</w:t>
            </w:r>
          </w:p>
        </w:tc>
        <w:tc>
          <w:tcPr>
            <w:tcW w:w="7091" w:type="dxa"/>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sz w:val="21"/>
                <w:szCs w:val="21"/>
                <w:lang w:val="en-US" w:eastAsia="zh-CN" w:bidi="ar"/>
              </w:rPr>
              <w:t>本课程是一门历史久远的理论学科，同时也是一门应用性极强的学科，是专业基础课。本课程旨在通过对学生讲授该课程，增强学生对当前中外社会现象的了解，同时培养科学地看问题与分析问题的方法，从宏观上科学地分析和研究社会，对各种社会现象进行理论解释，对未来社会的发展趋势进行预测。通过对社会学的学习，把握在制定正确的社会政策、维护社会稳定和繁荣、科学地解决社会问题等方面社会学所提供的独特视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6</w:t>
            </w:r>
          </w:p>
        </w:tc>
        <w:tc>
          <w:tcPr>
            <w:tcW w:w="180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kern w:val="0"/>
                <w:sz w:val="21"/>
                <w:szCs w:val="21"/>
                <w:rtl w:val="0"/>
                <w:lang w:val="zh-TW" w:eastAsia="zh-TW"/>
              </w:rPr>
              <w:t>新媒体概论</w:t>
            </w:r>
          </w:p>
        </w:tc>
        <w:tc>
          <w:tcPr>
            <w:tcW w:w="7091" w:type="dxa"/>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kern w:val="0"/>
                <w:sz w:val="21"/>
                <w:szCs w:val="21"/>
                <w:rtl w:val="0"/>
                <w:lang w:val="zh-TW" w:eastAsia="zh-TW"/>
              </w:rPr>
              <w:t>本课程是新闻传播学专业的基础课程之一，是研究新闻的性质、特征、发生、发展、传播及其规律的一门学科。它既是对新闻学基本原理的理论阐述，也是对人类新闻实践活动的高度概括和总结，对新闻以及新闻传播活动内在规律的认识和把握。因此，高校新闻传播专业的学生必须掌握新闻学的基本理论知识，以便在今后的新闻工作中，能够以良好的理论素养指导新闻实践，并尝试解决新闻实践中不断出现的新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7</w:t>
            </w:r>
          </w:p>
        </w:tc>
        <w:tc>
          <w:tcPr>
            <w:tcW w:w="180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themeColor="text1"/>
                <w:sz w:val="21"/>
                <w:szCs w:val="21"/>
                <w:lang w:eastAsia="zh-CN"/>
                <w14:textFill>
                  <w14:solidFill>
                    <w14:schemeClr w14:val="tx1"/>
                  </w14:solidFill>
                </w14:textFill>
              </w:rPr>
              <w:t>马克思主义新闻观</w:t>
            </w:r>
          </w:p>
        </w:tc>
        <w:tc>
          <w:tcPr>
            <w:tcW w:w="7091" w:type="dxa"/>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sz w:val="21"/>
                <w:szCs w:val="21"/>
                <w:lang w:val="en-US" w:eastAsia="zh-CN" w:bidi="ar"/>
              </w:rPr>
              <w:t>旨在通过学习马克思主义经典作家和后来党的主要领导人关于信息传播、宣传、新闻、文化、传播政策，以及党组织内部思想交流等等的论述。在宏观上把握马克思主义新闻观的实质、形成过程、中国化的过程及其当前对于中国新闻事业发展的重要指导意义。了解马克思、恩格斯、列宁对新闻工作新闻活动的认识和理论总结，深入理解毛泽东、刘少奇、邓小平、江泽民、胡锦涛、习近平的新闻思想对马克思主义新闻观的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8</w:t>
            </w:r>
          </w:p>
        </w:tc>
        <w:tc>
          <w:tcPr>
            <w:tcW w:w="180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kern w:val="0"/>
                <w:sz w:val="21"/>
                <w:szCs w:val="21"/>
                <w:rtl w:val="0"/>
                <w:lang w:val="zh-TW" w:eastAsia="zh-TW"/>
              </w:rPr>
              <w:t>媒介伦理与法规</w:t>
            </w:r>
          </w:p>
        </w:tc>
        <w:tc>
          <w:tcPr>
            <w:tcW w:w="7091" w:type="dxa"/>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themeColor="text1"/>
                <w:kern w:val="0"/>
                <w:sz w:val="21"/>
                <w:szCs w:val="21"/>
                <w:lang w:val="zh-TW" w:eastAsia="zh-TW"/>
                <w14:textFill>
                  <w14:solidFill>
                    <w14:schemeClr w14:val="tx1"/>
                  </w14:solidFill>
                </w14:textFill>
              </w:rPr>
              <w:t>本课程是新闻学专业重要的专业课程之一，是为学生树立正确的新闻职业道德观、养成良好的新闻职业行为习惯，提升媒介专业素养而开设的一门专业必修课。通过本课程的学习，学生深入探寻新闻职业的道德共识，理解分析新闻伦理争议的源头，审视新闻传播活动过程中各类主体的法律关系，同时也启发大家思考新媒体所带来的一系列新问题。学生通过学习，将获得对新闻事件报道的分析与思辨能力，避免涉入非专业的雷区，为未来从事新闻媒体工作，打下理论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9</w:t>
            </w:r>
          </w:p>
        </w:tc>
        <w:tc>
          <w:tcPr>
            <w:tcW w:w="180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kern w:val="0"/>
                <w:sz w:val="21"/>
                <w:szCs w:val="21"/>
                <w:rtl w:val="0"/>
                <w:lang w:val="zh-TW" w:eastAsia="zh-TW"/>
              </w:rPr>
              <w:t>新闻传播学研究方法</w:t>
            </w:r>
          </w:p>
        </w:tc>
        <w:tc>
          <w:tcPr>
            <w:tcW w:w="7091" w:type="dxa"/>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themeColor="text1"/>
                <w:kern w:val="0"/>
                <w:sz w:val="21"/>
                <w:szCs w:val="21"/>
                <w:lang w:val="zh-TW" w:eastAsia="zh-TW"/>
                <w14:textFill>
                  <w14:solidFill>
                    <w14:schemeClr w14:val="tx1"/>
                  </w14:solidFill>
                </w14:textFill>
              </w:rPr>
              <w:t>新闻传播学研究方法是新闻学专业学生所学的专业必修课。该课程是一门针对新闻传播专业本科生的入门级研究方法课，目的在于帮助同学们掌握对人类传播行为以及大众媒体现象的分析方法，培养其科学观察、独立思考、理性批判的能力，以及从事传播学研究的基本能力。新闻传播学研究方法这门课有很强的理论性和实践性。对于学生来说，既要认真学习掌握基本理论，又要积极地实践练习，才能实现这门课的教学目的。</w:t>
            </w:r>
          </w:p>
        </w:tc>
      </w:tr>
    </w:tbl>
    <w:p>
      <w:pPr>
        <w:pStyle w:val="2"/>
        <w:pageBreakBefore w:val="0"/>
        <w:widowControl w:val="0"/>
        <w:numPr>
          <w:ilvl w:val="0"/>
          <w:numId w:val="0"/>
        </w:numPr>
        <w:kinsoku/>
        <w:wordWrap/>
        <w:overflowPunct/>
        <w:topLinePunct w:val="0"/>
        <w:autoSpaceDE/>
        <w:autoSpaceDN/>
        <w:bidi w:val="0"/>
        <w:adjustRightInd/>
        <w:snapToGrid/>
        <w:spacing w:line="500" w:lineRule="exact"/>
        <w:textAlignment w:val="auto"/>
        <w:rPr>
          <w:rFonts w:hint="default" w:eastAsia="仿宋_GB2312"/>
          <w:sz w:val="24"/>
          <w:szCs w:val="24"/>
          <w:lang w:val="en-US" w:eastAsia="zh-CN"/>
        </w:rPr>
      </w:pPr>
    </w:p>
    <w:p>
      <w:pPr>
        <w:rPr>
          <w:rFonts w:hint="eastAsia" w:ascii="楷体_GB2312" w:hAnsi="楷体_GB2312" w:eastAsia="楷体_GB2312" w:cs="楷体_GB2312"/>
          <w:b/>
          <w:bCs/>
          <w:sz w:val="24"/>
          <w:szCs w:val="24"/>
          <w:lang w:val="en-US" w:eastAsia="zh-CN"/>
        </w:rPr>
      </w:pPr>
      <w:r>
        <w:rPr>
          <w:rFonts w:hint="eastAsia" w:ascii="楷体_GB2312" w:hAnsi="楷体_GB2312" w:eastAsia="楷体_GB2312" w:cs="楷体_GB2312"/>
          <w:b/>
          <w:bCs/>
          <w:sz w:val="24"/>
          <w:szCs w:val="24"/>
          <w:lang w:val="en-US" w:eastAsia="zh-CN"/>
        </w:rPr>
        <w:br w:type="page"/>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eastAsia" w:ascii="楷体_GB2312" w:hAnsi="楷体_GB2312" w:eastAsia="楷体_GB2312" w:cs="楷体_GB2312"/>
          <w:b/>
          <w:bCs/>
          <w:sz w:val="24"/>
          <w:szCs w:val="24"/>
          <w:lang w:val="en-US" w:eastAsia="zh-CN"/>
        </w:rPr>
      </w:pPr>
      <w:r>
        <w:rPr>
          <w:rFonts w:hint="eastAsia" w:ascii="黑体" w:hAnsi="黑体" w:eastAsia="黑体" w:cs="黑体"/>
          <w:b/>
          <w:bCs/>
          <w:sz w:val="24"/>
          <w:szCs w:val="24"/>
          <w:lang w:val="en-US" w:eastAsia="zh-CN"/>
        </w:rPr>
        <w:t>表三：专业课程设置一览表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3"/>
        <w:gridCol w:w="1808"/>
        <w:gridCol w:w="7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3"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kern w:val="0"/>
                <w:sz w:val="21"/>
                <w:szCs w:val="21"/>
                <w:rtl w:val="0"/>
                <w:lang w:val="zh-TW" w:eastAsia="zh-TW"/>
              </w:rPr>
              <w:t>广播电视新闻报道</w:t>
            </w:r>
          </w:p>
        </w:tc>
        <w:tc>
          <w:tcPr>
            <w:tcW w:w="3667" w:type="pct"/>
            <w:vAlign w:val="center"/>
          </w:tcPr>
          <w:p>
            <w:pPr>
              <w:keepNext w:val="0"/>
              <w:keepLines w:val="0"/>
              <w:pageBreakBefore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lang w:val="zh-TW" w:eastAsia="zh-TW"/>
                <w14:textFill>
                  <w14:solidFill>
                    <w14:schemeClr w14:val="tx1"/>
                  </w14:solidFill>
                </w14:textFill>
              </w:rPr>
              <w:t>互联网语境下广播电视新闻的内涵和外延的扩大，因此本课程主要围绕三部分展开：在理念上，主要讲授与视听新闻相关的基础理论，如新闻的价值判断、视听元素运用的基本规则、视听新闻伦理等。在技能上，主要讲解视听新闻的组织策划和各种表达方式，既包括基于传统广播电视平台的主流节目形态，也有基于互联网新媒体技术的新兴节目形态，如短视频、网络直播等。在技术上，主要介绍与视听新闻生产和传播相关的基本技术，既包括与视听文本结构相关的技术，如画面的拍摄与剪辑、音响的采制与运用等。</w:t>
            </w:r>
          </w:p>
          <w:p>
            <w:pPr>
              <w:keepNext w:val="0"/>
              <w:keepLines w:val="0"/>
              <w:pageBreakBefore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color w:val="000000" w:themeColor="text1"/>
                <w:kern w:val="0"/>
                <w:sz w:val="21"/>
                <w:szCs w:val="21"/>
                <w:lang w:val="zh-TW" w:eastAsia="zh-TW"/>
                <w14:textFill>
                  <w14:solidFill>
                    <w14:schemeClr w14:val="tx1"/>
                  </w14:solidFill>
                </w14:textFill>
              </w:rPr>
              <w:t>在教学过程中采用互动式教学的方式，经常与学生们探讨策划人的业务能力，并深入到具体的案例操作中。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3"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kern w:val="0"/>
                <w:sz w:val="21"/>
                <w:szCs w:val="21"/>
                <w:rtl w:val="0"/>
                <w:lang w:val="zh-TW" w:eastAsia="zh-CN"/>
              </w:rPr>
              <w:t>广告学概论</w:t>
            </w:r>
          </w:p>
        </w:tc>
        <w:tc>
          <w:tcPr>
            <w:tcW w:w="3667" w:type="pct"/>
            <w:vAlign w:val="center"/>
          </w:tcPr>
          <w:p>
            <w:pPr>
              <w:keepNext w:val="0"/>
              <w:keepLines w:val="0"/>
              <w:pageBreakBefore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themeColor="text1"/>
                <w:kern w:val="0"/>
                <w:sz w:val="21"/>
                <w:szCs w:val="21"/>
                <w:lang w:val="zh-TW" w:eastAsia="zh-TW"/>
                <w14:textFill>
                  <w14:solidFill>
                    <w14:schemeClr w14:val="tx1"/>
                  </w14:solidFill>
                </w14:textFill>
              </w:rPr>
              <w:t>广告学概论既是广告设计专业的重要专业基础课，也是广告从业人员创意创作的重要理论支撑。本书根据广告行业发展的新形势和新特点，结合广告实战运作的基本流程，系统介绍广告、广告组织、广告运作流程体系、广告传播、广告媒介、品牌广告、新媒体广告、广告效果评估、广告创意与表现、广告策划战略与策略等基本理论知识，并注重通过强化训练提高应用技能与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933"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kern w:val="0"/>
                <w:sz w:val="21"/>
                <w:szCs w:val="21"/>
                <w:rtl w:val="0"/>
                <w:lang w:val="zh-TW" w:eastAsia="zh-CN"/>
              </w:rPr>
              <w:t>新闻评论</w:t>
            </w:r>
          </w:p>
        </w:tc>
        <w:tc>
          <w:tcPr>
            <w:tcW w:w="3667" w:type="pct"/>
            <w:vAlign w:val="center"/>
          </w:tcPr>
          <w:p>
            <w:pPr>
              <w:keepNext w:val="0"/>
              <w:keepLines w:val="0"/>
              <w:pageBreakBefore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themeColor="text1"/>
                <w:kern w:val="0"/>
                <w:sz w:val="21"/>
                <w:szCs w:val="21"/>
                <w:lang w:val="zh-TW" w:eastAsia="zh-TW"/>
                <w14:textFill>
                  <w14:solidFill>
                    <w14:schemeClr w14:val="tx1"/>
                  </w14:solidFill>
                </w14:textFill>
              </w:rPr>
              <w:t>是新闻学的理论基础部分，通过本门课的学习，使学生了解和掌握新闻评论的思维和表达特征，掌握新闻评论写作的基本规律。专业知识</w:t>
            </w:r>
            <w:r>
              <w:rPr>
                <w:rFonts w:hint="eastAsia" w:ascii="仿宋_GB2312" w:hAnsi="仿宋_GB2312" w:eastAsia="仿宋_GB2312" w:cs="仿宋_GB2312"/>
                <w:color w:val="000000" w:themeColor="text1"/>
                <w:kern w:val="0"/>
                <w:sz w:val="21"/>
                <w:szCs w:val="21"/>
                <w:lang w:val="zh-TW" w:eastAsia="zh-CN"/>
                <w14:textFill>
                  <w14:solidFill>
                    <w14:schemeClr w14:val="tx1"/>
                  </w14:solidFill>
                </w14:textFill>
              </w:rPr>
              <w:t>：</w:t>
            </w:r>
            <w:r>
              <w:rPr>
                <w:rFonts w:hint="eastAsia" w:ascii="仿宋_GB2312" w:hAnsi="仿宋_GB2312" w:eastAsia="仿宋_GB2312" w:cs="仿宋_GB2312"/>
                <w:color w:val="000000" w:themeColor="text1"/>
                <w:kern w:val="0"/>
                <w:sz w:val="21"/>
                <w:szCs w:val="21"/>
                <w:lang w:val="zh-TW" w:eastAsia="zh-TW"/>
                <w14:textFill>
                  <w14:solidFill>
                    <w14:schemeClr w14:val="tx1"/>
                  </w14:solidFill>
                </w14:textFill>
              </w:rPr>
              <w:t>准确把握新闻评论的思维方法、表达方法、论证方法与技巧、评论标题的制作、评论的结构与文风等基础知识。综合能力</w:t>
            </w:r>
            <w:r>
              <w:rPr>
                <w:rFonts w:hint="eastAsia" w:ascii="仿宋_GB2312" w:hAnsi="仿宋_GB2312" w:eastAsia="仿宋_GB2312" w:cs="仿宋_GB2312"/>
                <w:color w:val="000000" w:themeColor="text1"/>
                <w:kern w:val="0"/>
                <w:sz w:val="21"/>
                <w:szCs w:val="21"/>
                <w:lang w:val="zh-TW" w:eastAsia="zh-CN"/>
                <w14:textFill>
                  <w14:solidFill>
                    <w14:schemeClr w14:val="tx1"/>
                  </w14:solidFill>
                </w14:textFill>
              </w:rPr>
              <w:t>：</w:t>
            </w:r>
            <w:r>
              <w:rPr>
                <w:rFonts w:hint="eastAsia" w:ascii="仿宋_GB2312" w:hAnsi="仿宋_GB2312" w:eastAsia="仿宋_GB2312" w:cs="仿宋_GB2312"/>
                <w:color w:val="000000" w:themeColor="text1"/>
                <w:kern w:val="0"/>
                <w:sz w:val="21"/>
                <w:szCs w:val="21"/>
                <w:lang w:val="zh-TW" w:eastAsia="zh-TW"/>
                <w14:textFill>
                  <w14:solidFill>
                    <w14:schemeClr w14:val="tx1"/>
                  </w14:solidFill>
                </w14:textFill>
              </w:rPr>
              <w:t>提高学生的新闻评论能力，为进一步掌握新闻业务提供必不可少的系统基础知识，加强学生在未来实际工作中的适应能力。基本素养</w:t>
            </w:r>
            <w:r>
              <w:rPr>
                <w:rFonts w:hint="eastAsia" w:ascii="仿宋_GB2312" w:hAnsi="仿宋_GB2312" w:eastAsia="仿宋_GB2312" w:cs="仿宋_GB2312"/>
                <w:color w:val="000000" w:themeColor="text1"/>
                <w:kern w:val="0"/>
                <w:sz w:val="21"/>
                <w:szCs w:val="21"/>
                <w:lang w:val="zh-TW" w:eastAsia="zh-CN"/>
                <w14:textFill>
                  <w14:solidFill>
                    <w14:schemeClr w14:val="tx1"/>
                  </w14:solidFill>
                </w14:textFill>
              </w:rPr>
              <w:t>：</w:t>
            </w:r>
            <w:r>
              <w:rPr>
                <w:rFonts w:hint="eastAsia" w:ascii="仿宋_GB2312" w:hAnsi="仿宋_GB2312" w:eastAsia="仿宋_GB2312" w:cs="仿宋_GB2312"/>
                <w:color w:val="000000" w:themeColor="text1"/>
                <w:kern w:val="0"/>
                <w:sz w:val="21"/>
                <w:szCs w:val="21"/>
                <w:lang w:val="zh-TW" w:eastAsia="zh-TW"/>
                <w14:textFill>
                  <w14:solidFill>
                    <w14:schemeClr w14:val="tx1"/>
                  </w14:solidFill>
                </w14:textFill>
              </w:rPr>
              <w:t>培养学生评论思维与表达的严谨性，提高新闻评观点交流的效率，能在互联网上理性表达观点。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3"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kern w:val="0"/>
                <w:sz w:val="21"/>
                <w:szCs w:val="21"/>
                <w:rtl w:val="0"/>
                <w:lang w:val="zh-TW" w:eastAsia="zh-CN"/>
              </w:rPr>
              <w:t>媒介经营与管理</w:t>
            </w:r>
          </w:p>
        </w:tc>
        <w:tc>
          <w:tcPr>
            <w:tcW w:w="3667" w:type="pct"/>
            <w:vAlign w:val="center"/>
          </w:tcPr>
          <w:p>
            <w:pPr>
              <w:keepNext w:val="0"/>
              <w:keepLines w:val="0"/>
              <w:pageBreakBefore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themeColor="text1"/>
                <w:kern w:val="0"/>
                <w:sz w:val="21"/>
                <w:szCs w:val="21"/>
                <w:lang w:val="zh-TW" w:eastAsia="zh-TW"/>
                <w14:textFill>
                  <w14:solidFill>
                    <w14:schemeClr w14:val="tx1"/>
                  </w14:solidFill>
                </w14:textFill>
              </w:rPr>
              <w:t>随着我国媒介产业的市场化与产业化，媒介经营管理在新闻传播学专业的课程体系与结构中的地位越来越重要。《媒介经营与管理》是针对新闻传播学专业本科生和研究生编写的教材，分媒介经营、媒介管理、媒介创新三篇，共十八章，理论全面、案例丰富，体现了系统性、创新性和前沿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3"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kern w:val="0"/>
                <w:sz w:val="21"/>
                <w:szCs w:val="21"/>
                <w:rtl w:val="0"/>
                <w:lang w:val="zh-TW" w:eastAsia="zh-TW"/>
              </w:rPr>
              <w:t>国际传播</w:t>
            </w:r>
          </w:p>
        </w:tc>
        <w:tc>
          <w:tcPr>
            <w:tcW w:w="3667" w:type="pct"/>
            <w:vAlign w:val="center"/>
          </w:tcPr>
          <w:p>
            <w:pPr>
              <w:keepNext w:val="0"/>
              <w:keepLines w:val="0"/>
              <w:pageBreakBefore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themeColor="text1"/>
                <w:kern w:val="0"/>
                <w:sz w:val="21"/>
                <w:szCs w:val="21"/>
                <w:lang w:val="zh-TW" w:eastAsia="zh-TW"/>
                <w14:textFill>
                  <w14:solidFill>
                    <w14:schemeClr w14:val="tx1"/>
                  </w14:solidFill>
                </w14:textFill>
              </w:rPr>
              <w:t>在日益全球化的当代，国际传播（信息的跨国界传播）业已成为人类信息传播的一种基本形态，同时也发展为传播学中最重要的研究领域之一，由此孕育出国际传播学。 国际传播从研究对象和内容、学科内涵及发展历程的学科概述出发，对国际传播的理论研究范式、历史沿革、传播主体、传播控制、传播渠道、传播内容、传播受众及传播效果和效应进行了全方位的透视和深入系统的阐释，在勘定学科知识版图的基础上确立了国际传播学的学科自主性和完备性。  通过理论学习，案例分析，专题研究等教学手段，全面掌握和了解国际传播学的规律和特点，使学生能够做到正确运用国际传播学的相关知识分析国际传播现象及内外动因和发展趋势。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6</w:t>
            </w:r>
          </w:p>
        </w:tc>
        <w:tc>
          <w:tcPr>
            <w:tcW w:w="933"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kern w:val="0"/>
                <w:sz w:val="21"/>
                <w:szCs w:val="21"/>
                <w:rtl w:val="0"/>
                <w:lang w:val="zh-TW" w:eastAsia="zh-TW"/>
              </w:rPr>
              <w:t>融合新闻</w:t>
            </w:r>
          </w:p>
        </w:tc>
        <w:tc>
          <w:tcPr>
            <w:tcW w:w="3667" w:type="pct"/>
            <w:vAlign w:val="center"/>
          </w:tcPr>
          <w:p>
            <w:pPr>
              <w:keepNext w:val="0"/>
              <w:keepLines w:val="0"/>
              <w:pageBreakBefore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themeColor="text1"/>
                <w:kern w:val="0"/>
                <w:sz w:val="21"/>
                <w:szCs w:val="21"/>
                <w:lang w:val="zh-TW" w:eastAsia="zh-TW"/>
                <w14:textFill>
                  <w14:solidFill>
                    <w14:schemeClr w14:val="tx1"/>
                  </w14:solidFill>
                </w14:textFill>
              </w:rPr>
              <w:t>新兴媒介技术不断涌现，深刻地改写了媒介表达的形态、语态、生态。面对未来全媒体生态格局，新闻生产方式需要创新，新闻形态、新闻语言也需要创新。作为一名新闻工作者，不仅要具备对社会问题的认知能力，即对社会疼痛的职业敏感以及社会问题的专业理解，同时也需要具备融合新闻表达能力，即通过融合新闻的表达形式，实现新闻议题的策划和表达。本课程聚焦网页新闻、数据新闻、短视频新闻、H5新闻、VR新闻、动画新闻、算法新闻、新闻游戏、移动直播等融合新闻形态，旨在帮助学生认识融合新闻生态，掌握融合新闻的策划理念、叙事语言和制作方法，同时将思政理念灌入案例教学的过程中，培育学生优良的思想政治情操与共情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7</w:t>
            </w:r>
          </w:p>
        </w:tc>
        <w:tc>
          <w:tcPr>
            <w:tcW w:w="933"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kern w:val="0"/>
                <w:sz w:val="21"/>
                <w:szCs w:val="21"/>
                <w:rtl w:val="0"/>
                <w:lang w:val="zh-TW" w:eastAsia="zh-TW"/>
              </w:rPr>
              <w:t>数据新闻</w:t>
            </w:r>
          </w:p>
        </w:tc>
        <w:tc>
          <w:tcPr>
            <w:tcW w:w="3667" w:type="pct"/>
            <w:vAlign w:val="center"/>
          </w:tcPr>
          <w:p>
            <w:pPr>
              <w:keepNext w:val="0"/>
              <w:keepLines w:val="0"/>
              <w:pageBreakBefore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themeColor="text1"/>
                <w:kern w:val="0"/>
                <w:sz w:val="21"/>
                <w:szCs w:val="21"/>
                <w:lang w:val="zh-TW" w:eastAsia="zh-TW"/>
                <w14:textFill>
                  <w14:solidFill>
                    <w14:schemeClr w14:val="tx1"/>
                  </w14:solidFill>
                </w14:textFill>
              </w:rPr>
              <w:t>本课程是为新闻学专业学生开设的系统介绍数据新闻课程，以期能培养学生理解和运用数据新闻能力，使学生能掌握数据分析、数据可视化以及数据新闻制作的技能，为未来的工作提供支撑。学生通过本课程的学习，应系统了解数据新闻的理论基础、研究方法、学科框架等基本内容，不仅需要掌握关于数据新闻的基础概念知识，同时也要具备制作数据新闻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8</w:t>
            </w:r>
          </w:p>
        </w:tc>
        <w:tc>
          <w:tcPr>
            <w:tcW w:w="933"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kern w:val="0"/>
                <w:sz w:val="21"/>
                <w:szCs w:val="21"/>
                <w:rtl w:val="0"/>
                <w:lang w:val="zh-TW" w:eastAsia="zh-TW"/>
              </w:rPr>
              <w:t>网络舆情分析</w:t>
            </w:r>
          </w:p>
        </w:tc>
        <w:tc>
          <w:tcPr>
            <w:tcW w:w="3667" w:type="pct"/>
            <w:vAlign w:val="center"/>
          </w:tcPr>
          <w:p>
            <w:pPr>
              <w:keepNext w:val="0"/>
              <w:keepLines w:val="0"/>
              <w:pageBreakBefore w:val="0"/>
              <w:widowControl/>
              <w:tabs>
                <w:tab w:val="left" w:pos="720"/>
                <w:tab w:val="left" w:pos="1440"/>
                <w:tab w:val="left" w:pos="2160"/>
                <w:tab w:val="left" w:pos="2880"/>
                <w:tab w:val="left" w:pos="3600"/>
                <w:tab w:val="left" w:pos="4320"/>
                <w:tab w:val="left" w:pos="5040"/>
                <w:tab w:val="left" w:pos="5760"/>
                <w:tab w:val="left" w:pos="6480"/>
                <w:tab w:val="left" w:pos="7200"/>
                <w:tab w:val="left" w:pos="7800"/>
              </w:tabs>
              <w:kinsoku/>
              <w:wordWrap/>
              <w:overflowPunct/>
              <w:topLinePunct w:val="0"/>
              <w:autoSpaceDE/>
              <w:autoSpaceDN/>
              <w:bidi w:val="0"/>
              <w:adjustRightInd/>
              <w:snapToGrid/>
              <w:spacing w:before="156" w:after="156"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themeColor="text1"/>
                <w:kern w:val="0"/>
                <w:sz w:val="21"/>
                <w:szCs w:val="21"/>
                <w:lang w:val="zh-TW" w:eastAsia="zh-TW"/>
                <w14:textFill>
                  <w14:solidFill>
                    <w14:schemeClr w14:val="tx1"/>
                  </w14:solidFill>
                </w14:textFill>
              </w:rPr>
              <w:t>网络舆情分析是一门应用广泛的新闻传播领域专业课程，主要内容包括网络舆情的规律与管理，舆情监测、分析、研判和应对。通过学习该课程，学生应了解网络舆情研究的发展、网络舆情的传播规律，掌握舆情监测预警、舆情数据分析、舆情报告写作、舆情研判和应对等理论知识与应用技巧，获得认识和分析网络舆情现象以及监测、引导和应对网络舆情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9</w:t>
            </w:r>
          </w:p>
        </w:tc>
        <w:tc>
          <w:tcPr>
            <w:tcW w:w="933"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kern w:val="0"/>
                <w:sz w:val="21"/>
                <w:szCs w:val="21"/>
                <w:rtl w:val="0"/>
                <w:lang w:val="zh-TW" w:eastAsia="zh-TW"/>
              </w:rPr>
              <w:t>新闻编辑</w:t>
            </w:r>
          </w:p>
        </w:tc>
        <w:tc>
          <w:tcPr>
            <w:tcW w:w="3667" w:type="pct"/>
            <w:vAlign w:val="center"/>
          </w:tcPr>
          <w:p>
            <w:pPr>
              <w:keepNext w:val="0"/>
              <w:keepLines w:val="0"/>
              <w:pageBreakBefore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themeColor="text1"/>
                <w:kern w:val="0"/>
                <w:sz w:val="21"/>
                <w:szCs w:val="21"/>
                <w:lang w:val="zh-TW" w:eastAsia="zh-TW"/>
                <w14:textFill>
                  <w14:solidFill>
                    <w14:schemeClr w14:val="tx1"/>
                  </w14:solidFill>
                </w14:textFill>
              </w:rPr>
              <w:t>从新闻媒介产品生产全过程来看，新闻编辑是新闻传播的中心环节，承担着决策、组织、选择、加工、制作等工作，是新闻传播的总策划，采编业务的总串联，组织传播的总合成，新闻报道的总把关，新闻素材的总加工。要做好新闻编辑工作，需要编辑人员具备理论、思想、知识、技能等多面的素养与能力。通过这门课的学习，使学生能够掌握编辑工作的基本规律、工作理念和方法，能够胜任从策划、组织调控到选稿、改稿、制作标题、版面设计等一系列的编辑工作。新闻编辑工作涉及新闻工作流程的方方面面，因此，本课程的目的在于让学生理解新闻编辑工作的功能和特性，掌握稿件编写与修改，标题制作，节目和版面的编排与设计等相关技能，努力提高自身的综合素质，以适应新闻编辑工作的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399"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10</w:t>
            </w:r>
          </w:p>
        </w:tc>
        <w:tc>
          <w:tcPr>
            <w:tcW w:w="933" w:type="pct"/>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themeColor="text1"/>
                <w:kern w:val="0"/>
                <w:sz w:val="21"/>
                <w:szCs w:val="21"/>
                <w:rtl w:val="0"/>
                <w:lang w:val="zh-TW" w:eastAsia="zh-CN"/>
                <w14:textFill>
                  <w14:solidFill>
                    <w14:schemeClr w14:val="tx1"/>
                  </w14:solidFill>
                </w14:textFill>
              </w:rPr>
              <w:t>新闻采访与写</w:t>
            </w: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Ⅰ</w:t>
            </w:r>
          </w:p>
        </w:tc>
        <w:tc>
          <w:tcPr>
            <w:tcW w:w="3667" w:type="pct"/>
            <w:vMerge w:val="restart"/>
            <w:vAlign w:val="center"/>
          </w:tcPr>
          <w:p>
            <w:pPr>
              <w:keepNext w:val="0"/>
              <w:keepLines w:val="0"/>
              <w:pageBreakBefore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themeColor="text1"/>
                <w:kern w:val="0"/>
                <w:sz w:val="21"/>
                <w:szCs w:val="21"/>
                <w:lang w:val="zh-TW" w:eastAsia="zh-CN"/>
                <w14:textFill>
                  <w14:solidFill>
                    <w14:schemeClr w14:val="tx1"/>
                  </w14:solidFill>
                </w14:textFill>
              </w:rPr>
              <w:t xml:space="preserve">针对媒介融合趋势下新闻报道理念和方法的改变，着重为广大新闻学专业的学子和业界相关从业人员提供新的传播环境中新闻采访与写作的专业技术体系，立足中国新闻界的实践成果和优秀传统，同时借助国际范围的观察视野，对新闻采写的原则、方法和最新技术进行深入细致的解析。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399" w:type="pct"/>
            <w:vMerge w:val="continue"/>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pPr>
          </w:p>
        </w:tc>
        <w:tc>
          <w:tcPr>
            <w:tcW w:w="933" w:type="pct"/>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kern w:val="0"/>
                <w:sz w:val="21"/>
                <w:szCs w:val="21"/>
                <w:rtl w:val="0"/>
                <w:lang w:val="zh-TW" w:eastAsia="zh-CN"/>
                <w14:textFill>
                  <w14:solidFill>
                    <w14:schemeClr w14:val="tx1"/>
                  </w14:solidFill>
                </w14:textFill>
              </w:rPr>
            </w:pPr>
            <w:r>
              <w:rPr>
                <w:rFonts w:hint="eastAsia" w:ascii="仿宋_GB2312" w:hAnsi="仿宋_GB2312" w:eastAsia="仿宋_GB2312" w:cs="仿宋_GB2312"/>
                <w:color w:val="000000" w:themeColor="text1"/>
                <w:kern w:val="0"/>
                <w:sz w:val="21"/>
                <w:szCs w:val="21"/>
                <w:lang w:val="en-US" w:eastAsia="zh-CN"/>
                <w14:textFill>
                  <w14:solidFill>
                    <w14:schemeClr w14:val="tx1"/>
                  </w14:solidFill>
                </w14:textFill>
              </w:rPr>
              <w:t>新闻采访与写Ⅱ</w:t>
            </w:r>
          </w:p>
        </w:tc>
        <w:tc>
          <w:tcPr>
            <w:tcW w:w="3667" w:type="pct"/>
            <w:vMerge w:val="continue"/>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themeColor="text1"/>
                <w:kern w:val="0"/>
                <w:sz w:val="21"/>
                <w:szCs w:val="21"/>
                <w:rtl w:val="0"/>
                <w:lang w:val="zh-TW"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11</w:t>
            </w:r>
          </w:p>
        </w:tc>
        <w:tc>
          <w:tcPr>
            <w:tcW w:w="933"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kern w:val="0"/>
                <w:sz w:val="21"/>
                <w:szCs w:val="21"/>
                <w:rtl w:val="0"/>
                <w:lang w:val="zh-TW" w:eastAsia="zh-TW"/>
              </w:rPr>
              <w:t>新闻摄影摄像</w:t>
            </w:r>
          </w:p>
        </w:tc>
        <w:tc>
          <w:tcPr>
            <w:tcW w:w="3667" w:type="pct"/>
            <w:vAlign w:val="center"/>
          </w:tcPr>
          <w:p>
            <w:pPr>
              <w:keepNext w:val="0"/>
              <w:keepLines w:val="0"/>
              <w:pageBreakBefore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themeColor="text1"/>
                <w:kern w:val="0"/>
                <w:sz w:val="21"/>
                <w:szCs w:val="21"/>
                <w:lang w:val="zh-TW" w:eastAsia="zh-TW"/>
                <w14:textFill>
                  <w14:solidFill>
                    <w14:schemeClr w14:val="tx1"/>
                  </w14:solidFill>
                </w14:textFill>
              </w:rPr>
              <w:t>通过对单反相机的基本操作实验、摄影棚灯具实操演练、户外姿势设计讲解，让学生熟悉设备的基础操作。通过室内棚拍、户外自然光摄影创作等实验，让学生掌握基本的拍摄内容，完成行业要求的基本操作，掌握行业基础技术。除此之外，在每次实拍之前，都要求学生撰写策划单，以充分调动积极性，使其直观感受到准备工作的重要性。综合实验的目的，是让学生对所学知识融会贯通，而且能够自觉运用艺术规律从事创作，独立完成新闻摄影工作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12</w:t>
            </w:r>
          </w:p>
        </w:tc>
        <w:tc>
          <w:tcPr>
            <w:tcW w:w="933"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kern w:val="0"/>
                <w:sz w:val="21"/>
                <w:szCs w:val="21"/>
                <w:rtl w:val="0"/>
                <w:lang w:val="zh-TW" w:eastAsia="zh-CN"/>
              </w:rPr>
              <w:t>中国</w:t>
            </w:r>
            <w:r>
              <w:rPr>
                <w:rFonts w:hint="eastAsia" w:ascii="仿宋_GB2312" w:hAnsi="仿宋_GB2312" w:eastAsia="仿宋_GB2312" w:cs="仿宋_GB2312"/>
                <w:kern w:val="0"/>
                <w:sz w:val="21"/>
                <w:szCs w:val="21"/>
                <w:rtl w:val="0"/>
                <w:lang w:val="zh-TW" w:eastAsia="zh-TW"/>
              </w:rPr>
              <w:t>新闻事业史</w:t>
            </w:r>
          </w:p>
        </w:tc>
        <w:tc>
          <w:tcPr>
            <w:tcW w:w="3667" w:type="pct"/>
            <w:vAlign w:val="center"/>
          </w:tcPr>
          <w:p>
            <w:pPr>
              <w:keepNext w:val="0"/>
              <w:keepLines w:val="0"/>
              <w:pageBreakBefore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color w:val="000000" w:themeColor="text1"/>
                <w:kern w:val="0"/>
                <w:sz w:val="21"/>
                <w:szCs w:val="21"/>
                <w:lang w:val="zh-TW" w:eastAsia="zh-TW"/>
                <w14:textFill>
                  <w14:solidFill>
                    <w14:schemeClr w14:val="tx1"/>
                  </w14:solidFill>
                </w14:textFill>
              </w:rPr>
              <w:t>本课程是新闻学专业重要的专业课程之一，是为培养新闻理论与新闻制作人才而开设的一门专业必修课。通过本课程的学习，让学生熟悉中国新闻史的基本脉络和鲜为人知的新闻人故事；掌握中国新闻传播各时代的特征和演变规律；培养必备的新闻理论素质和宏观思维，从新闻史学的视角对新闻业务、新闻理论进行证实、证伪的初步尝试，并培养学生的批判精神和辩证多元的思维方式，以增强学生的人文素质和对新闻实践的深度思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13</w:t>
            </w:r>
          </w:p>
        </w:tc>
        <w:tc>
          <w:tcPr>
            <w:tcW w:w="933"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kern w:val="0"/>
                <w:sz w:val="21"/>
                <w:szCs w:val="21"/>
                <w:rtl w:val="0"/>
                <w:lang w:val="zh-TW" w:eastAsia="zh-CN"/>
              </w:rPr>
              <w:t>外国</w:t>
            </w:r>
            <w:r>
              <w:rPr>
                <w:rFonts w:hint="eastAsia" w:ascii="仿宋_GB2312" w:hAnsi="仿宋_GB2312" w:eastAsia="仿宋_GB2312" w:cs="仿宋_GB2312"/>
                <w:kern w:val="0"/>
                <w:sz w:val="21"/>
                <w:szCs w:val="21"/>
                <w:rtl w:val="0"/>
                <w:lang w:val="zh-TW" w:eastAsia="zh-TW"/>
              </w:rPr>
              <w:t>新闻事业史</w:t>
            </w:r>
          </w:p>
        </w:tc>
        <w:tc>
          <w:tcPr>
            <w:tcW w:w="3667" w:type="pct"/>
            <w:vAlign w:val="center"/>
          </w:tcPr>
          <w:p>
            <w:pPr>
              <w:keepNext w:val="0"/>
              <w:keepLines w:val="0"/>
              <w:pageBreakBefore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themeColor="text1"/>
                <w:kern w:val="0"/>
                <w:sz w:val="21"/>
                <w:szCs w:val="21"/>
                <w:lang w:val="zh-TW" w:eastAsia="zh-TW"/>
                <w14:textFill>
                  <w14:solidFill>
                    <w14:schemeClr w14:val="tx1"/>
                  </w14:solidFill>
                </w14:textFill>
              </w:rPr>
              <w:t>本课程是新闻学专业重要的专业课程之一，是为培养新闻理论与新闻制作人才而开设的一门专业必修课。通过本课程的学习，让学生熟悉外国新闻史的基本脉络和鲜为人知的新闻人故事；掌握外国新闻传播各时代的特征和演变规律；培养必备的新闻理论素质和宏观思维，从新闻史学的视角对新闻业务、新闻理论进行证实、证伪的初步尝试，并培养学生的批判精神和辩证多元的思维方式，以增强学生的人文素质和对新闻实践的深度思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14</w:t>
            </w:r>
          </w:p>
        </w:tc>
        <w:tc>
          <w:tcPr>
            <w:tcW w:w="933"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kern w:val="0"/>
                <w:sz w:val="21"/>
                <w:szCs w:val="21"/>
                <w:rtl w:val="0"/>
                <w:lang w:val="zh-TW" w:eastAsia="zh-CN"/>
              </w:rPr>
            </w:pPr>
            <w:r>
              <w:rPr>
                <w:rFonts w:hint="eastAsia" w:ascii="仿宋_GB2312" w:hAnsi="仿宋_GB2312" w:eastAsia="仿宋_GB2312" w:cs="仿宋_GB2312"/>
                <w:kern w:val="0"/>
                <w:sz w:val="21"/>
                <w:szCs w:val="21"/>
                <w:rtl w:val="0"/>
                <w:lang w:val="zh-TW" w:eastAsia="zh-CN"/>
              </w:rPr>
              <w:t>专业新闻与深度报道</w:t>
            </w:r>
          </w:p>
        </w:tc>
        <w:tc>
          <w:tcPr>
            <w:tcW w:w="366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themeColor="text1"/>
                <w:kern w:val="0"/>
                <w:sz w:val="21"/>
                <w:szCs w:val="21"/>
                <w:lang w:val="zh-TW" w:eastAsia="zh-TW"/>
                <w14:textFill>
                  <w14:solidFill>
                    <w14:schemeClr w14:val="tx1"/>
                  </w14:solidFill>
                </w14:textFill>
              </w:rPr>
            </w:pPr>
            <w:r>
              <w:rPr>
                <w:rFonts w:hint="eastAsia" w:ascii="仿宋_GB2312" w:hAnsi="仿宋_GB2312" w:eastAsia="仿宋_GB2312" w:cs="仿宋_GB2312"/>
                <w:color w:val="000000" w:themeColor="text1"/>
                <w:kern w:val="0"/>
                <w:sz w:val="21"/>
                <w:szCs w:val="21"/>
                <w:lang w:val="zh-TW" w:eastAsia="zh-TW"/>
                <w14:textFill>
                  <w14:solidFill>
                    <w14:schemeClr w14:val="tx1"/>
                  </w14:solidFill>
                </w14:textFill>
              </w:rPr>
              <w:t>深度报道是新闻学专业的综合能力提升课程，授课内容涵盖深度报道的理论、策略及案例，兼具理论性和操作性。通过本课程的学习，增强学生对所学知识的融会贯通，提升新闻采写实操能力，提高综合分析和解决问题的能力，向专业的深广度拓展。从新闻生产的具体过程出发来介绍深度报道的操作理念和实践方略。具体包括深度报道的内涵、操作路径；深度报道的消息源管理、采访突破和写作策略；学习调查性报道、特稿和人物报道等的采写与实操，为学生将来从事相关工作和完成深度报道采写打下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15</w:t>
            </w:r>
          </w:p>
        </w:tc>
        <w:tc>
          <w:tcPr>
            <w:tcW w:w="933" w:type="pc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kern w:val="0"/>
                <w:sz w:val="21"/>
                <w:szCs w:val="21"/>
                <w:rtl w:val="0"/>
                <w:lang w:val="zh-TW" w:eastAsia="zh-CN"/>
              </w:rPr>
            </w:pPr>
            <w:r>
              <w:rPr>
                <w:rFonts w:hint="eastAsia" w:ascii="仿宋_GB2312" w:hAnsi="仿宋_GB2312" w:eastAsia="仿宋_GB2312" w:cs="仿宋_GB2312"/>
                <w:kern w:val="0"/>
                <w:sz w:val="21"/>
                <w:szCs w:val="21"/>
                <w:rtl w:val="0"/>
                <w:lang w:val="zh-TW" w:eastAsia="zh-CN"/>
              </w:rPr>
              <w:t>新闻策划</w:t>
            </w:r>
          </w:p>
        </w:tc>
        <w:tc>
          <w:tcPr>
            <w:tcW w:w="366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themeColor="text1"/>
                <w:kern w:val="0"/>
                <w:sz w:val="21"/>
                <w:szCs w:val="21"/>
                <w:lang w:val="zh-TW" w:eastAsia="zh-TW"/>
                <w14:textFill>
                  <w14:solidFill>
                    <w14:schemeClr w14:val="tx1"/>
                  </w14:solidFill>
                </w14:textFill>
              </w:rPr>
            </w:pPr>
            <w:r>
              <w:rPr>
                <w:rFonts w:hint="eastAsia" w:ascii="仿宋_GB2312" w:hAnsi="仿宋_GB2312" w:eastAsia="仿宋_GB2312" w:cs="仿宋_GB2312"/>
                <w:color w:val="000000" w:themeColor="text1"/>
                <w:kern w:val="2"/>
                <w:sz w:val="21"/>
                <w:szCs w:val="21"/>
                <w:lang w:val="zh-TW" w:eastAsia="zh-TW" w:bidi="ar-SA"/>
                <w14:textFill>
                  <w14:solidFill>
                    <w14:schemeClr w14:val="tx1"/>
                  </w14:solidFill>
                </w14:textFill>
              </w:rPr>
              <w:t>新闻策划</w:t>
            </w:r>
            <w:r>
              <w:rPr>
                <w:rFonts w:hint="eastAsia" w:ascii="仿宋_GB2312" w:hAnsi="仿宋_GB2312" w:eastAsia="仿宋_GB2312" w:cs="仿宋_GB2312"/>
                <w:color w:val="000000" w:themeColor="text1"/>
                <w:kern w:val="2"/>
                <w:sz w:val="21"/>
                <w:szCs w:val="21"/>
                <w:lang w:val="zh-TW" w:eastAsia="zh-CN" w:bidi="ar-SA"/>
                <w14:textFill>
                  <w14:solidFill>
                    <w14:schemeClr w14:val="tx1"/>
                  </w14:solidFill>
                </w14:textFill>
              </w:rPr>
              <w:t>课程</w:t>
            </w:r>
            <w:r>
              <w:rPr>
                <w:rFonts w:hint="eastAsia" w:ascii="仿宋_GB2312" w:hAnsi="仿宋_GB2312" w:eastAsia="仿宋_GB2312" w:cs="仿宋_GB2312"/>
                <w:color w:val="000000" w:themeColor="text1"/>
                <w:kern w:val="2"/>
                <w:sz w:val="21"/>
                <w:szCs w:val="21"/>
                <w:lang w:val="zh-TW" w:eastAsia="zh-TW" w:bidi="ar-SA"/>
                <w14:textFill>
                  <w14:solidFill>
                    <w14:schemeClr w14:val="tx1"/>
                  </w14:solidFill>
                </w14:textFill>
              </w:rPr>
              <w:t>包括传媒发展战略策划、传媒营销策划、内部管理机制策划、广告策划以及媒体的风格和定位策划等。对已经发生或将要发生的新闻事件如何进行报道，进行分析、构思，经过反复酝酿、调整，从多个报道方案中优选出最佳报道方案来加以实施，以达到一定的报道目标、实现预期的传播效果的过程</w:t>
            </w:r>
            <w:r>
              <w:rPr>
                <w:rFonts w:hint="eastAsia" w:ascii="仿宋_GB2312" w:hAnsi="仿宋_GB2312" w:eastAsia="仿宋_GB2312" w:cs="仿宋_GB2312"/>
                <w:color w:val="000000" w:themeColor="text1"/>
                <w:kern w:val="2"/>
                <w:sz w:val="21"/>
                <w:szCs w:val="21"/>
                <w:lang w:val="zh-TW" w:eastAsia="zh-CN" w:bidi="ar-SA"/>
                <w14:textFill>
                  <w14:solidFill>
                    <w14:schemeClr w14:val="tx1"/>
                  </w14:solidFill>
                </w14:textFill>
              </w:rPr>
              <w:t>。</w:t>
            </w:r>
          </w:p>
        </w:tc>
      </w:tr>
    </w:tbl>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br w:type="page"/>
      </w:r>
    </w:p>
    <w:p>
      <w:pPr>
        <w:pStyle w:val="3"/>
        <w:pageBreakBefore w:val="0"/>
        <w:numPr>
          <w:ilvl w:val="0"/>
          <w:numId w:val="1"/>
        </w:numPr>
        <w:kinsoku/>
        <w:wordWrap/>
        <w:overflowPunct/>
        <w:topLinePunct w:val="0"/>
        <w:autoSpaceDE/>
        <w:autoSpaceDN/>
        <w:bidi w:val="0"/>
        <w:adjustRightInd/>
        <w:snapToGrid/>
        <w:spacing w:before="0" w:after="0" w:line="500" w:lineRule="exact"/>
        <w:ind w:left="0" w:leftChars="0" w:firstLine="420" w:firstLineChars="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lang w:val="en-US" w:eastAsia="zh-CN"/>
        </w:rPr>
        <w:t>考核与</w:t>
      </w:r>
      <w:r>
        <w:rPr>
          <w:rFonts w:hint="eastAsia" w:ascii="黑体" w:hAnsi="黑体" w:eastAsia="黑体"/>
          <w:b w:val="0"/>
          <w:bCs w:val="0"/>
          <w:sz w:val="24"/>
          <w:szCs w:val="24"/>
          <w:highlight w:val="none"/>
        </w:rPr>
        <w:t>毕业要求</w:t>
      </w:r>
    </w:p>
    <w:p>
      <w:pPr>
        <w:pageBreakBefore w:val="0"/>
        <w:numPr>
          <w:ilvl w:val="0"/>
          <w:numId w:val="3"/>
        </w:numPr>
        <w:kinsoku/>
        <w:wordWrap/>
        <w:overflowPunct/>
        <w:topLinePunct w:val="0"/>
        <w:autoSpaceDE/>
        <w:autoSpaceDN/>
        <w:bidi w:val="0"/>
        <w:adjustRightInd/>
        <w:snapToGrid/>
        <w:spacing w:line="500" w:lineRule="exact"/>
        <w:ind w:firstLine="482" w:firstLineChars="200"/>
        <w:textAlignment w:val="auto"/>
        <w:rPr>
          <w:rFonts w:hint="eastAsia" w:ascii="黑体" w:hAnsi="黑体" w:eastAsia="黑体" w:cs="Calibri"/>
          <w:b/>
          <w:bCs/>
          <w:kern w:val="44"/>
          <w:sz w:val="24"/>
          <w:szCs w:val="24"/>
          <w:highlight w:val="none"/>
          <w:lang w:val="en-US" w:eastAsia="zh-CN" w:bidi="ar-SA"/>
        </w:rPr>
      </w:pPr>
      <w:r>
        <w:rPr>
          <w:rFonts w:hint="eastAsia" w:ascii="黑体" w:hAnsi="黑体" w:eastAsia="黑体" w:cs="Calibri"/>
          <w:b/>
          <w:bCs/>
          <w:kern w:val="44"/>
          <w:sz w:val="24"/>
          <w:szCs w:val="24"/>
          <w:highlight w:val="none"/>
          <w:lang w:val="en-US" w:eastAsia="zh-CN" w:bidi="ar-SA"/>
        </w:rPr>
        <w:t>考核要求</w:t>
      </w:r>
    </w:p>
    <w:p>
      <w:pPr>
        <w:pStyle w:val="2"/>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24"/>
          <w:szCs w:val="24"/>
          <w:highlight w:val="none"/>
          <w:lang w:val="en-US" w:eastAsia="zh-CN"/>
        </w:rPr>
      </w:pPr>
      <w:r>
        <w:rPr>
          <w:rFonts w:ascii="仿宋_GB2312" w:hAnsi="仿宋_GB2312" w:eastAsia="仿宋_GB2312" w:cs="仿宋_GB2312"/>
          <w:sz w:val="24"/>
          <w:szCs w:val="24"/>
          <w:lang w:val="zh-TW" w:eastAsia="zh-TW"/>
        </w:rPr>
        <w:t>课程考核立足课程特点和基本要求，采用过程性考核（平时成绩）与终结性考核（期末考试）相结合的模式。其中平时成绩由平时学习及表现、作业、考勤三部分组成。课程期末考试成绩占总成绩比例原则上不低于60%，不超过80%。考勤缺课学时数占该门课程总时数30%以上者，不能参加本课程的考核，该课程成绩按“0”分记载。</w:t>
      </w:r>
    </w:p>
    <w:p>
      <w:pPr>
        <w:pStyle w:val="2"/>
        <w:pageBreakBefore w:val="0"/>
        <w:numPr>
          <w:ilvl w:val="0"/>
          <w:numId w:val="3"/>
        </w:numPr>
        <w:kinsoku/>
        <w:wordWrap/>
        <w:overflowPunct/>
        <w:topLinePunct w:val="0"/>
        <w:autoSpaceDE/>
        <w:autoSpaceDN/>
        <w:bidi w:val="0"/>
        <w:adjustRightInd/>
        <w:snapToGrid/>
        <w:spacing w:line="500" w:lineRule="exact"/>
        <w:textAlignment w:val="auto"/>
        <w:rPr>
          <w:rFonts w:hint="default" w:ascii="黑体" w:hAnsi="黑体" w:eastAsia="黑体" w:cs="Calibri"/>
          <w:b/>
          <w:bCs/>
          <w:kern w:val="44"/>
          <w:sz w:val="24"/>
          <w:szCs w:val="24"/>
          <w:highlight w:val="none"/>
          <w:lang w:val="en-US" w:eastAsia="zh-CN" w:bidi="ar-SA"/>
        </w:rPr>
      </w:pPr>
      <w:r>
        <w:rPr>
          <w:rFonts w:hint="eastAsia" w:ascii="黑体" w:hAnsi="黑体" w:eastAsia="黑体" w:cs="Calibri"/>
          <w:b/>
          <w:bCs/>
          <w:kern w:val="44"/>
          <w:sz w:val="24"/>
          <w:szCs w:val="24"/>
          <w:highlight w:val="none"/>
          <w:lang w:val="en-US" w:eastAsia="zh-CN" w:bidi="ar-SA"/>
        </w:rPr>
        <w:t>毕业要求</w:t>
      </w:r>
    </w:p>
    <w:p>
      <w:pPr>
        <w:pageBreakBefore w:val="0"/>
        <w:kinsoku/>
        <w:wordWrap/>
        <w:overflowPunct/>
        <w:topLinePunct w:val="0"/>
        <w:autoSpaceDE/>
        <w:autoSpaceDN/>
        <w:bidi w:val="0"/>
        <w:adjustRightInd/>
        <w:snapToGrid/>
        <w:spacing w:line="500" w:lineRule="exact"/>
        <w:ind w:firstLine="480"/>
        <w:textAlignment w:val="auto"/>
        <w:rPr>
          <w:rFonts w:ascii="仿宋_GB2312" w:hAnsi="仿宋_GB2312" w:eastAsia="仿宋_GB2312" w:cs="仿宋_GB2312"/>
          <w:sz w:val="24"/>
          <w:szCs w:val="24"/>
        </w:rPr>
      </w:pPr>
      <w:r>
        <w:rPr>
          <w:rFonts w:ascii="仿宋_GB2312" w:hAnsi="仿宋_GB2312" w:eastAsia="仿宋_GB2312" w:cs="仿宋_GB2312"/>
          <w:sz w:val="24"/>
          <w:szCs w:val="24"/>
          <w:lang w:val="en-US"/>
        </w:rPr>
        <w:t>1.</w:t>
      </w:r>
      <w:r>
        <w:rPr>
          <w:rFonts w:ascii="仿宋_GB2312" w:hAnsi="仿宋_GB2312" w:eastAsia="仿宋_GB2312" w:cs="仿宋_GB2312"/>
          <w:sz w:val="24"/>
          <w:szCs w:val="24"/>
          <w:lang w:val="zh-TW" w:eastAsia="zh-TW"/>
        </w:rPr>
        <w:t>学生在基本学制</w:t>
      </w:r>
      <w:r>
        <w:rPr>
          <w:rFonts w:ascii="仿宋_GB2312" w:hAnsi="仿宋_GB2312" w:eastAsia="仿宋_GB2312" w:cs="仿宋_GB2312"/>
          <w:sz w:val="24"/>
          <w:szCs w:val="24"/>
          <w:lang w:val="en-US"/>
        </w:rPr>
        <w:t>2.5</w:t>
      </w:r>
      <w:r>
        <w:rPr>
          <w:rFonts w:ascii="仿宋_GB2312" w:hAnsi="仿宋_GB2312" w:eastAsia="仿宋_GB2312" w:cs="仿宋_GB2312"/>
          <w:sz w:val="24"/>
          <w:szCs w:val="24"/>
          <w:lang w:val="zh-TW" w:eastAsia="zh-TW"/>
        </w:rPr>
        <w:t>年的专业人才培养方案所规定的</w:t>
      </w:r>
      <w:r>
        <w:rPr>
          <w:rFonts w:hint="eastAsia" w:ascii="仿宋_GB2312" w:hAnsi="仿宋_GB2312" w:eastAsia="仿宋_GB2312" w:cs="仿宋_GB2312"/>
          <w:sz w:val="24"/>
          <w:szCs w:val="24"/>
          <w:lang w:val="en-US" w:eastAsia="zh-CN"/>
        </w:rPr>
        <w:t>1638</w:t>
      </w:r>
      <w:r>
        <w:rPr>
          <w:rFonts w:ascii="仿宋_GB2312" w:hAnsi="仿宋_GB2312" w:eastAsia="仿宋_GB2312" w:cs="仿宋_GB2312"/>
          <w:sz w:val="24"/>
          <w:szCs w:val="24"/>
          <w:lang w:val="zh-TW" w:eastAsia="zh-TW"/>
        </w:rPr>
        <w:t>学时9</w:t>
      </w:r>
      <w:r>
        <w:rPr>
          <w:rFonts w:hint="eastAsia" w:ascii="仿宋_GB2312" w:hAnsi="仿宋_GB2312" w:eastAsia="仿宋_GB2312" w:cs="仿宋_GB2312"/>
          <w:sz w:val="24"/>
          <w:szCs w:val="24"/>
          <w:lang w:val="en-US" w:eastAsia="zh-CN"/>
        </w:rPr>
        <w:t>1</w:t>
      </w:r>
      <w:r>
        <w:rPr>
          <w:rFonts w:ascii="仿宋_GB2312" w:hAnsi="仿宋_GB2312" w:eastAsia="仿宋_GB2312" w:cs="仿宋_GB2312"/>
          <w:sz w:val="24"/>
          <w:szCs w:val="24"/>
          <w:lang w:val="zh-TW" w:eastAsia="zh-TW"/>
        </w:rPr>
        <w:t>学分，完成规定的教学活动，达到培养规格规定的素质、知识和能力等要求，准予毕业。</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lang w:val="zh-TW" w:eastAsia="zh-TW"/>
        </w:rPr>
      </w:pPr>
      <w:r>
        <w:rPr>
          <w:rFonts w:ascii="仿宋_GB2312" w:hAnsi="仿宋_GB2312" w:eastAsia="仿宋_GB2312" w:cs="仿宋_GB2312"/>
          <w:sz w:val="24"/>
          <w:szCs w:val="24"/>
          <w:lang w:val="en-US"/>
        </w:rPr>
        <w:t>2.</w:t>
      </w:r>
      <w:r>
        <w:rPr>
          <w:rFonts w:ascii="仿宋_GB2312" w:hAnsi="仿宋_GB2312" w:eastAsia="仿宋_GB2312" w:cs="仿宋_GB2312"/>
          <w:sz w:val="24"/>
          <w:szCs w:val="24"/>
          <w:lang w:val="zh-TW" w:eastAsia="zh-TW"/>
        </w:rPr>
        <w:t>取得本科毕业证书、全省学位外语考试合格、毕业论文（设计）良好以上，符合我校《成人高等教育学士学位授予工作实施细则》有关规定者，可授予文学学士学位证书。</w:t>
      </w:r>
    </w:p>
    <w:p>
      <w:pPr>
        <w:pStyle w:val="2"/>
        <w:rPr>
          <w:lang w:val="zh-TW" w:eastAsia="zh-TW"/>
        </w:rPr>
      </w:pPr>
    </w:p>
    <w:p>
      <w:pPr>
        <w:pStyle w:val="3"/>
        <w:pageBreakBefore w:val="0"/>
        <w:numPr>
          <w:ilvl w:val="0"/>
          <w:numId w:val="1"/>
        </w:numPr>
        <w:kinsoku/>
        <w:wordWrap/>
        <w:overflowPunct/>
        <w:topLinePunct w:val="0"/>
        <w:autoSpaceDE/>
        <w:autoSpaceDN/>
        <w:bidi w:val="0"/>
        <w:adjustRightInd/>
        <w:snapToGrid/>
        <w:spacing w:before="0" w:after="0" w:line="500" w:lineRule="exact"/>
        <w:ind w:left="0" w:leftChars="0" w:firstLine="420" w:firstLineChars="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课程教学计划</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lang w:val="zh-TW" w:eastAsia="zh-TW"/>
        </w:rPr>
      </w:pPr>
      <w:r>
        <w:rPr>
          <w:rFonts w:ascii="仿宋_GB2312" w:hAnsi="仿宋_GB2312" w:eastAsia="仿宋_GB2312" w:cs="仿宋_GB2312"/>
          <w:sz w:val="24"/>
          <w:szCs w:val="24"/>
          <w:lang w:val="zh-TW" w:eastAsia="zh-TW"/>
        </w:rPr>
        <w:t>本专业学生应修满的最低学分为</w:t>
      </w:r>
      <w:r>
        <w:rPr>
          <w:rFonts w:hint="eastAsia" w:ascii="仿宋_GB2312" w:hAnsi="仿宋_GB2312" w:eastAsia="仿宋_GB2312" w:cs="仿宋_GB2312"/>
          <w:sz w:val="24"/>
          <w:szCs w:val="24"/>
          <w:lang w:val="en-US" w:eastAsia="zh-CN"/>
        </w:rPr>
        <w:t>91</w:t>
      </w:r>
      <w:r>
        <w:rPr>
          <w:rFonts w:ascii="仿宋_GB2312" w:hAnsi="仿宋_GB2312" w:eastAsia="仿宋_GB2312" w:cs="仿宋_GB2312"/>
          <w:sz w:val="24"/>
          <w:szCs w:val="24"/>
          <w:lang w:val="zh-TW" w:eastAsia="zh-TW"/>
        </w:rPr>
        <w:t>学分。其中</w:t>
      </w:r>
      <w:r>
        <w:rPr>
          <w:rFonts w:hint="eastAsia" w:ascii="仿宋_GB2312" w:hAnsi="仿宋_GB2312" w:eastAsia="仿宋_GB2312" w:cs="仿宋_GB2312"/>
          <w:sz w:val="24"/>
          <w:szCs w:val="24"/>
          <w:lang w:val="zh-TW" w:eastAsia="zh-CN"/>
        </w:rPr>
        <w:t>通识教育课程</w:t>
      </w:r>
      <w:r>
        <w:rPr>
          <w:rFonts w:hint="eastAsia" w:ascii="仿宋_GB2312" w:hAnsi="仿宋_GB2312" w:eastAsia="仿宋_GB2312" w:cs="仿宋_GB2312"/>
          <w:sz w:val="24"/>
          <w:szCs w:val="24"/>
          <w:lang w:val="en-US" w:eastAsia="zh-CN"/>
        </w:rPr>
        <w:t>28</w:t>
      </w:r>
      <w:r>
        <w:rPr>
          <w:rFonts w:ascii="仿宋_GB2312" w:hAnsi="仿宋_GB2312" w:eastAsia="仿宋_GB2312" w:cs="仿宋_GB2312"/>
          <w:sz w:val="24"/>
          <w:szCs w:val="24"/>
          <w:lang w:val="zh-TW" w:eastAsia="zh-TW"/>
        </w:rPr>
        <w:t>学分，</w:t>
      </w:r>
      <w:r>
        <w:rPr>
          <w:rFonts w:hint="eastAsia" w:ascii="仿宋_GB2312" w:hAnsi="仿宋_GB2312" w:eastAsia="仿宋_GB2312" w:cs="仿宋_GB2312"/>
          <w:sz w:val="24"/>
          <w:szCs w:val="24"/>
          <w:lang w:val="zh-TW" w:eastAsia="zh-CN"/>
        </w:rPr>
        <w:t>学科基础课程</w:t>
      </w:r>
      <w:r>
        <w:rPr>
          <w:rFonts w:ascii="仿宋_GB2312" w:hAnsi="仿宋_GB2312" w:eastAsia="仿宋_GB2312" w:cs="仿宋_GB2312"/>
          <w:sz w:val="24"/>
          <w:szCs w:val="24"/>
          <w:lang w:val="zh-TW" w:eastAsia="zh-TW"/>
        </w:rPr>
        <w:t xml:space="preserve"> </w:t>
      </w:r>
      <w:r>
        <w:rPr>
          <w:rFonts w:hint="eastAsia" w:ascii="仿宋_GB2312" w:hAnsi="仿宋_GB2312" w:eastAsia="仿宋_GB2312" w:cs="仿宋_GB2312"/>
          <w:sz w:val="24"/>
          <w:szCs w:val="24"/>
          <w:lang w:val="en-US" w:eastAsia="zh-CN"/>
        </w:rPr>
        <w:t>17</w:t>
      </w:r>
      <w:r>
        <w:rPr>
          <w:rFonts w:ascii="仿宋_GB2312" w:hAnsi="仿宋_GB2312" w:eastAsia="仿宋_GB2312" w:cs="仿宋_GB2312"/>
          <w:sz w:val="24"/>
          <w:szCs w:val="24"/>
          <w:lang w:val="zh-TW" w:eastAsia="zh-TW"/>
        </w:rPr>
        <w:t>学分，</w:t>
      </w:r>
      <w:r>
        <w:rPr>
          <w:rFonts w:hint="eastAsia" w:ascii="仿宋_GB2312" w:hAnsi="仿宋_GB2312" w:eastAsia="仿宋_GB2312" w:cs="仿宋_GB2312"/>
          <w:sz w:val="24"/>
          <w:szCs w:val="24"/>
          <w:lang w:val="zh-TW" w:eastAsia="zh-CN"/>
        </w:rPr>
        <w:t>专业课程</w:t>
      </w:r>
      <w:r>
        <w:rPr>
          <w:rFonts w:hint="eastAsia" w:ascii="仿宋_GB2312" w:hAnsi="仿宋_GB2312" w:eastAsia="仿宋_GB2312" w:cs="仿宋_GB2312"/>
          <w:sz w:val="24"/>
          <w:szCs w:val="24"/>
          <w:lang w:val="en-US" w:eastAsia="zh-CN"/>
        </w:rPr>
        <w:t>32</w:t>
      </w:r>
      <w:r>
        <w:rPr>
          <w:rFonts w:ascii="仿宋_GB2312" w:hAnsi="仿宋_GB2312" w:eastAsia="仿宋_GB2312" w:cs="仿宋_GB2312"/>
          <w:sz w:val="24"/>
          <w:szCs w:val="24"/>
          <w:lang w:val="zh-TW" w:eastAsia="zh-TW"/>
        </w:rPr>
        <w:t>学分，</w:t>
      </w:r>
      <w:r>
        <w:rPr>
          <w:rFonts w:hint="eastAsia" w:ascii="仿宋_GB2312" w:hAnsi="仿宋_GB2312" w:eastAsia="仿宋_GB2312" w:cs="仿宋_GB2312"/>
          <w:sz w:val="24"/>
          <w:szCs w:val="24"/>
          <w:lang w:val="zh-TW" w:eastAsia="zh-CN"/>
        </w:rPr>
        <w:t>综合实践课程</w:t>
      </w:r>
      <w:r>
        <w:rPr>
          <w:rFonts w:hint="eastAsia" w:ascii="仿宋_GB2312" w:hAnsi="仿宋_GB2312" w:eastAsia="仿宋_GB2312" w:cs="仿宋_GB2312"/>
          <w:sz w:val="24"/>
          <w:szCs w:val="24"/>
          <w:lang w:val="en-US" w:eastAsia="zh-CN"/>
        </w:rPr>
        <w:t>14</w:t>
      </w:r>
      <w:r>
        <w:rPr>
          <w:rFonts w:ascii="仿宋_GB2312" w:hAnsi="仿宋_GB2312" w:eastAsia="仿宋_GB2312" w:cs="仿宋_GB2312"/>
          <w:sz w:val="24"/>
          <w:szCs w:val="24"/>
          <w:lang w:val="zh-TW" w:eastAsia="zh-TW"/>
        </w:rPr>
        <w:t>学分。所有修读课程均须通过考核，考核及格以上者方能取得相应学分。</w:t>
      </w:r>
    </w:p>
    <w:p>
      <w:pPr>
        <w:pStyle w:val="2"/>
        <w:ind w:left="0" w:leftChars="0" w:firstLine="0" w:firstLineChars="0"/>
        <w:rPr>
          <w:rFonts w:ascii="仿宋_GB2312" w:hAnsi="仿宋_GB2312" w:eastAsia="仿宋_GB2312" w:cs="仿宋_GB2312"/>
          <w:sz w:val="24"/>
          <w:szCs w:val="24"/>
          <w:lang w:val="zh-TW" w:eastAsia="zh-TW"/>
        </w:rPr>
      </w:pPr>
    </w:p>
    <w:p>
      <w:pPr>
        <w:pageBreakBefore w:val="0"/>
        <w:kinsoku/>
        <w:wordWrap/>
        <w:overflowPunct/>
        <w:topLinePunct w:val="0"/>
        <w:autoSpaceDE/>
        <w:autoSpaceDN/>
        <w:bidi w:val="0"/>
        <w:adjustRightInd/>
        <w:snapToGrid/>
        <w:spacing w:line="500" w:lineRule="exact"/>
        <w:ind w:left="0"/>
        <w:jc w:val="center"/>
        <w:rPr>
          <w:rFonts w:hint="eastAsia" w:ascii="黑体" w:hAnsi="黑体" w:eastAsia="黑体" w:cs="黑体"/>
          <w:b/>
          <w:bCs/>
          <w:kern w:val="0"/>
          <w:sz w:val="24"/>
          <w:szCs w:val="24"/>
          <w:highlight w:val="none"/>
        </w:rPr>
      </w:pPr>
      <w:r>
        <w:rPr>
          <w:rFonts w:hint="eastAsia" w:ascii="黑体" w:hAnsi="黑体" w:eastAsia="黑体" w:cs="黑体"/>
          <w:b/>
          <w:bCs/>
          <w:kern w:val="0"/>
          <w:sz w:val="24"/>
          <w:szCs w:val="24"/>
          <w:highlight w:val="none"/>
          <w:lang w:val="en-US" w:eastAsia="zh-CN"/>
        </w:rPr>
        <w:t>表四：新闻学</w:t>
      </w:r>
      <w:r>
        <w:rPr>
          <w:rFonts w:hint="eastAsia" w:ascii="黑体" w:hAnsi="黑体" w:eastAsia="黑体" w:cs="黑体"/>
          <w:b/>
          <w:bCs/>
          <w:kern w:val="0"/>
          <w:sz w:val="24"/>
          <w:szCs w:val="24"/>
          <w:highlight w:val="none"/>
        </w:rPr>
        <w:t>专业</w:t>
      </w:r>
      <w:r>
        <w:rPr>
          <w:rFonts w:hint="eastAsia" w:ascii="黑体" w:hAnsi="黑体" w:eastAsia="黑体" w:cs="黑体"/>
          <w:b/>
          <w:bCs/>
          <w:kern w:val="0"/>
          <w:sz w:val="24"/>
          <w:szCs w:val="24"/>
          <w:highlight w:val="none"/>
          <w:lang w:val="en-US" w:eastAsia="zh-CN"/>
        </w:rPr>
        <w:t>成人高等教育（专升本）毕业生应修学分参考</w:t>
      </w:r>
      <w:r>
        <w:rPr>
          <w:rFonts w:hint="eastAsia" w:ascii="黑体" w:hAnsi="黑体" w:eastAsia="黑体" w:cs="黑体"/>
          <w:b/>
          <w:bCs/>
          <w:kern w:val="0"/>
          <w:sz w:val="24"/>
          <w:szCs w:val="24"/>
          <w:highlight w:val="none"/>
        </w:rPr>
        <w:t>表</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6"/>
        <w:gridCol w:w="991"/>
        <w:gridCol w:w="903"/>
        <w:gridCol w:w="1230"/>
        <w:gridCol w:w="1230"/>
        <w:gridCol w:w="1230"/>
        <w:gridCol w:w="1230"/>
        <w:gridCol w:w="1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课程类别</w:t>
            </w:r>
          </w:p>
        </w:tc>
        <w:tc>
          <w:tcPr>
            <w:tcW w:w="503"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lang w:val="en-US" w:eastAsia="zh-CN"/>
              </w:rPr>
            </w:pPr>
            <w:r>
              <w:rPr>
                <w:rFonts w:hint="eastAsia" w:ascii="仿宋_GB2312" w:hAnsi="仿宋_GB2312" w:eastAsia="仿宋_GB2312" w:cs="仿宋_GB2312"/>
                <w:b/>
                <w:bCs/>
                <w:sz w:val="21"/>
                <w:szCs w:val="21"/>
                <w:vertAlign w:val="baseline"/>
                <w:lang w:val="en-US" w:eastAsia="zh-CN"/>
              </w:rPr>
              <w:t>课程</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性质</w:t>
            </w:r>
          </w:p>
        </w:tc>
        <w:tc>
          <w:tcPr>
            <w:tcW w:w="458"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lang w:val="en-US"/>
              </w:rPr>
            </w:pPr>
            <w:r>
              <w:rPr>
                <w:rFonts w:hint="eastAsia" w:ascii="仿宋_GB2312" w:hAnsi="仿宋_GB2312" w:eastAsia="仿宋_GB2312" w:cs="仿宋_GB2312"/>
                <w:b/>
                <w:bCs/>
                <w:sz w:val="21"/>
                <w:szCs w:val="21"/>
                <w:vertAlign w:val="baseline"/>
                <w:lang w:val="en-US" w:eastAsia="zh-CN"/>
              </w:rPr>
              <w:t>学分数</w:t>
            </w:r>
          </w:p>
        </w:tc>
        <w:tc>
          <w:tcPr>
            <w:tcW w:w="3125" w:type="pct"/>
            <w:gridSpan w:val="5"/>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各学期应修学分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503"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458"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一</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二</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三</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四</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通识教育课程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26</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10.5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11.5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3.5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0.5</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选修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学科基础课程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17</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8</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专业课程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32</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6</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12</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14</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综合实践课程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14</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5" w:type="pct"/>
            <w:gridSpan w:val="2"/>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合计</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91</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rPr>
            </w:pPr>
            <w:r>
              <w:rPr>
                <w:rFonts w:hint="default" w:ascii="仿宋_GB2312" w:hAnsi="仿宋_GB2312" w:eastAsia="仿宋_GB2312" w:cs="仿宋_GB2312"/>
                <w:sz w:val="21"/>
                <w:szCs w:val="21"/>
                <w:vertAlign w:val="baseline"/>
              </w:rPr>
              <w:fldChar w:fldCharType="begin"/>
            </w:r>
            <w:r>
              <w:rPr>
                <w:rFonts w:hint="default" w:ascii="仿宋_GB2312" w:hAnsi="仿宋_GB2312" w:eastAsia="仿宋_GB2312" w:cs="仿宋_GB2312"/>
                <w:sz w:val="21"/>
                <w:szCs w:val="21"/>
                <w:vertAlign w:val="baseline"/>
              </w:rPr>
              <w:instrText xml:space="preserve"> =SUM(ABOVE) \* MERGEFORMAT </w:instrText>
            </w:r>
            <w:r>
              <w:rPr>
                <w:rFonts w:hint="default" w:ascii="仿宋_GB2312" w:hAnsi="仿宋_GB2312" w:eastAsia="仿宋_GB2312" w:cs="仿宋_GB2312"/>
                <w:sz w:val="21"/>
                <w:szCs w:val="21"/>
                <w:vertAlign w:val="baseline"/>
              </w:rPr>
              <w:fldChar w:fldCharType="separate"/>
            </w:r>
            <w:r>
              <w:rPr>
                <w:rFonts w:hint="default" w:ascii="仿宋_GB2312" w:hAnsi="仿宋_GB2312" w:eastAsia="仿宋_GB2312" w:cs="仿宋_GB2312"/>
                <w:sz w:val="21"/>
                <w:szCs w:val="21"/>
                <w:vertAlign w:val="baseline"/>
              </w:rPr>
              <w:t>19.5</w:t>
            </w:r>
            <w:r>
              <w:rPr>
                <w:rFonts w:hint="default"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eastAsia="zh-CN"/>
              </w:rPr>
            </w:pPr>
            <w:r>
              <w:rPr>
                <w:rFonts w:hint="default" w:ascii="仿宋_GB2312" w:hAnsi="仿宋_GB2312" w:eastAsia="仿宋_GB2312" w:cs="仿宋_GB2312"/>
                <w:sz w:val="21"/>
                <w:szCs w:val="21"/>
                <w:vertAlign w:val="baseline"/>
                <w:lang w:eastAsia="zh-CN"/>
              </w:rPr>
              <w:fldChar w:fldCharType="begin"/>
            </w:r>
            <w:r>
              <w:rPr>
                <w:rFonts w:hint="default" w:ascii="仿宋_GB2312" w:hAnsi="仿宋_GB2312" w:eastAsia="仿宋_GB2312" w:cs="仿宋_GB2312"/>
                <w:sz w:val="21"/>
                <w:szCs w:val="21"/>
                <w:vertAlign w:val="baseline"/>
                <w:lang w:eastAsia="zh-CN"/>
              </w:rPr>
              <w:instrText xml:space="preserve"> =SUM(ABOVE) \* MERGEFORMAT </w:instrText>
            </w:r>
            <w:r>
              <w:rPr>
                <w:rFonts w:hint="default" w:ascii="仿宋_GB2312" w:hAnsi="仿宋_GB2312" w:eastAsia="仿宋_GB2312" w:cs="仿宋_GB2312"/>
                <w:sz w:val="21"/>
                <w:szCs w:val="21"/>
                <w:vertAlign w:val="baseline"/>
                <w:lang w:eastAsia="zh-CN"/>
              </w:rPr>
              <w:fldChar w:fldCharType="separate"/>
            </w:r>
            <w:r>
              <w:rPr>
                <w:rFonts w:hint="default" w:ascii="仿宋_GB2312" w:hAnsi="仿宋_GB2312" w:eastAsia="仿宋_GB2312" w:cs="仿宋_GB2312"/>
                <w:sz w:val="21"/>
                <w:szCs w:val="21"/>
                <w:vertAlign w:val="baseline"/>
                <w:lang w:eastAsia="zh-CN"/>
              </w:rPr>
              <w:t>21.5</w:t>
            </w:r>
            <w:r>
              <w:rPr>
                <w:rFonts w:hint="default" w:ascii="仿宋_GB2312" w:hAnsi="仿宋_GB2312" w:eastAsia="仿宋_GB2312" w:cs="仿宋_GB2312"/>
                <w:sz w:val="21"/>
                <w:szCs w:val="21"/>
                <w:vertAlign w:val="baseline"/>
                <w:lang w:eastAsia="zh-CN"/>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eastAsia="zh-CN"/>
              </w:rPr>
            </w:pPr>
            <w:r>
              <w:rPr>
                <w:rFonts w:hint="default" w:ascii="仿宋_GB2312" w:hAnsi="仿宋_GB2312" w:eastAsia="仿宋_GB2312" w:cs="仿宋_GB2312"/>
                <w:sz w:val="21"/>
                <w:szCs w:val="21"/>
                <w:vertAlign w:val="baseline"/>
                <w:lang w:eastAsia="zh-CN"/>
              </w:rPr>
              <w:fldChar w:fldCharType="begin"/>
            </w:r>
            <w:r>
              <w:rPr>
                <w:rFonts w:hint="default" w:ascii="仿宋_GB2312" w:hAnsi="仿宋_GB2312" w:eastAsia="仿宋_GB2312" w:cs="仿宋_GB2312"/>
                <w:sz w:val="21"/>
                <w:szCs w:val="21"/>
                <w:vertAlign w:val="baseline"/>
                <w:lang w:eastAsia="zh-CN"/>
              </w:rPr>
              <w:instrText xml:space="preserve"> =SUM(ABOVE) \* MERGEFORMAT </w:instrText>
            </w:r>
            <w:r>
              <w:rPr>
                <w:rFonts w:hint="default" w:ascii="仿宋_GB2312" w:hAnsi="仿宋_GB2312" w:eastAsia="仿宋_GB2312" w:cs="仿宋_GB2312"/>
                <w:sz w:val="21"/>
                <w:szCs w:val="21"/>
                <w:vertAlign w:val="baseline"/>
                <w:lang w:eastAsia="zh-CN"/>
              </w:rPr>
              <w:fldChar w:fldCharType="separate"/>
            </w:r>
            <w:r>
              <w:rPr>
                <w:rFonts w:hint="default" w:ascii="仿宋_GB2312" w:hAnsi="仿宋_GB2312" w:eastAsia="仿宋_GB2312" w:cs="仿宋_GB2312"/>
                <w:sz w:val="21"/>
                <w:szCs w:val="21"/>
                <w:vertAlign w:val="baseline"/>
                <w:lang w:eastAsia="zh-CN"/>
              </w:rPr>
              <w:t>18.5</w:t>
            </w:r>
            <w:r>
              <w:rPr>
                <w:rFonts w:hint="default" w:ascii="仿宋_GB2312" w:hAnsi="仿宋_GB2312" w:eastAsia="仿宋_GB2312" w:cs="仿宋_GB2312"/>
                <w:sz w:val="21"/>
                <w:szCs w:val="21"/>
                <w:vertAlign w:val="baseline"/>
                <w:lang w:eastAsia="zh-CN"/>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eastAsia="zh-CN"/>
              </w:rPr>
            </w:pPr>
            <w:r>
              <w:rPr>
                <w:rFonts w:hint="default" w:ascii="仿宋_GB2312" w:hAnsi="仿宋_GB2312" w:eastAsia="仿宋_GB2312" w:cs="仿宋_GB2312"/>
                <w:sz w:val="21"/>
                <w:szCs w:val="21"/>
                <w:vertAlign w:val="baseline"/>
                <w:lang w:eastAsia="zh-CN"/>
              </w:rPr>
              <w:fldChar w:fldCharType="begin"/>
            </w:r>
            <w:r>
              <w:rPr>
                <w:rFonts w:hint="default" w:ascii="仿宋_GB2312" w:hAnsi="仿宋_GB2312" w:eastAsia="仿宋_GB2312" w:cs="仿宋_GB2312"/>
                <w:sz w:val="21"/>
                <w:szCs w:val="21"/>
                <w:vertAlign w:val="baseline"/>
                <w:lang w:eastAsia="zh-CN"/>
              </w:rPr>
              <w:instrText xml:space="preserve"> =SUM(ABOVE) \* MERGEFORMAT </w:instrText>
            </w:r>
            <w:r>
              <w:rPr>
                <w:rFonts w:hint="default" w:ascii="仿宋_GB2312" w:hAnsi="仿宋_GB2312" w:eastAsia="仿宋_GB2312" w:cs="仿宋_GB2312"/>
                <w:sz w:val="21"/>
                <w:szCs w:val="21"/>
                <w:vertAlign w:val="baseline"/>
                <w:lang w:eastAsia="zh-CN"/>
              </w:rPr>
              <w:fldChar w:fldCharType="separate"/>
            </w:r>
            <w:r>
              <w:rPr>
                <w:rFonts w:hint="default" w:ascii="仿宋_GB2312" w:hAnsi="仿宋_GB2312" w:eastAsia="仿宋_GB2312" w:cs="仿宋_GB2312"/>
                <w:sz w:val="21"/>
                <w:szCs w:val="21"/>
                <w:vertAlign w:val="baseline"/>
                <w:lang w:eastAsia="zh-CN"/>
              </w:rPr>
              <w:t>20.5</w:t>
            </w:r>
            <w:r>
              <w:rPr>
                <w:rFonts w:hint="default" w:ascii="仿宋_GB2312" w:hAnsi="仿宋_GB2312" w:eastAsia="仿宋_GB2312" w:cs="仿宋_GB2312"/>
                <w:sz w:val="21"/>
                <w:szCs w:val="21"/>
                <w:vertAlign w:val="baseline"/>
                <w:lang w:eastAsia="zh-CN"/>
              </w:rPr>
              <w:fldChar w:fldCharType="end"/>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rPr>
              <w:t>11</w:t>
            </w:r>
            <w:r>
              <w:rPr>
                <w:rFonts w:hint="eastAsia" w:ascii="仿宋_GB2312" w:hAnsi="仿宋_GB2312" w:eastAsia="仿宋_GB2312" w:cs="仿宋_GB2312"/>
                <w:sz w:val="21"/>
                <w:szCs w:val="21"/>
                <w:vertAlign w:val="baseli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5" w:type="pct"/>
            <w:gridSpan w:val="2"/>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占总学分百分比（%）</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100</w:t>
            </w:r>
          </w:p>
        </w:tc>
        <w:tc>
          <w:tcPr>
            <w:tcW w:w="1230" w:type="dxa"/>
            <w:vAlign w:val="center"/>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21.4</w:t>
            </w:r>
          </w:p>
        </w:tc>
        <w:tc>
          <w:tcPr>
            <w:tcW w:w="1230" w:type="dxa"/>
            <w:vAlign w:val="center"/>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23.6</w:t>
            </w:r>
          </w:p>
        </w:tc>
        <w:tc>
          <w:tcPr>
            <w:tcW w:w="1230" w:type="dxa"/>
            <w:vAlign w:val="center"/>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20.3</w:t>
            </w:r>
          </w:p>
        </w:tc>
        <w:tc>
          <w:tcPr>
            <w:tcW w:w="1230" w:type="dxa"/>
            <w:vAlign w:val="center"/>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22.5</w:t>
            </w:r>
          </w:p>
        </w:tc>
        <w:tc>
          <w:tcPr>
            <w:tcW w:w="1240" w:type="dxa"/>
            <w:vAlign w:val="center"/>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12.1</w:t>
            </w:r>
          </w:p>
        </w:tc>
      </w:tr>
    </w:tbl>
    <w:p>
      <w:pPr>
        <w:pStyle w:val="2"/>
        <w:ind w:left="0" w:leftChars="0" w:firstLine="0" w:firstLineChars="0"/>
        <w:rPr>
          <w:rFonts w:hint="eastAsia" w:ascii="仿宋_GB2312" w:hAnsi="仿宋_GB2312" w:eastAsia="仿宋_GB2312" w:cs="仿宋_GB2312"/>
          <w:sz w:val="24"/>
          <w:szCs w:val="24"/>
          <w:lang w:val="zh-TW" w:eastAsia="zh-TW"/>
        </w:rPr>
      </w:pPr>
    </w:p>
    <w:p>
      <w:pPr>
        <w:rPr>
          <w:rFonts w:hint="eastAsia" w:ascii="黑体" w:hAnsi="黑体" w:eastAsia="黑体" w:cs="黑体"/>
          <w:b/>
          <w:bCs/>
          <w:kern w:val="0"/>
          <w:sz w:val="24"/>
          <w:szCs w:val="24"/>
          <w:highlight w:val="none"/>
          <w:lang w:val="en-US" w:eastAsia="zh-CN"/>
        </w:rPr>
      </w:pPr>
      <w:r>
        <w:rPr>
          <w:rFonts w:hint="eastAsia" w:ascii="黑体" w:hAnsi="黑体" w:eastAsia="黑体" w:cs="黑体"/>
          <w:b/>
          <w:bCs/>
          <w:kern w:val="0"/>
          <w:sz w:val="24"/>
          <w:szCs w:val="24"/>
          <w:highlight w:val="none"/>
          <w:lang w:val="en-US" w:eastAsia="zh-CN"/>
        </w:rPr>
        <w:br w:type="page"/>
      </w:r>
    </w:p>
    <w:p>
      <w:pPr>
        <w:pageBreakBefore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sz w:val="24"/>
          <w:szCs w:val="24"/>
          <w:highlight w:val="none"/>
        </w:rPr>
      </w:pPr>
      <w:r>
        <w:rPr>
          <w:rFonts w:hint="eastAsia" w:ascii="黑体" w:hAnsi="黑体" w:eastAsia="黑体" w:cs="黑体"/>
          <w:b/>
          <w:bCs/>
          <w:kern w:val="0"/>
          <w:sz w:val="24"/>
          <w:szCs w:val="24"/>
          <w:highlight w:val="none"/>
          <w:lang w:val="en-US" w:eastAsia="zh-CN"/>
        </w:rPr>
        <w:t>表五：新闻学</w:t>
      </w:r>
      <w:r>
        <w:rPr>
          <w:rFonts w:hint="eastAsia" w:ascii="黑体" w:hAnsi="黑体" w:eastAsia="黑体" w:cs="黑体"/>
          <w:b/>
          <w:bCs/>
          <w:kern w:val="0"/>
          <w:sz w:val="24"/>
          <w:szCs w:val="24"/>
          <w:highlight w:val="none"/>
        </w:rPr>
        <w:t>专业教学进程安排表</w:t>
      </w:r>
    </w:p>
    <w:tbl>
      <w:tblPr>
        <w:tblStyle w:val="13"/>
        <w:tblpPr w:leftFromText="180" w:rightFromText="180" w:vertAnchor="text" w:horzAnchor="page" w:tblpXSpec="center" w:tblpY="127"/>
        <w:tblOverlap w:val="never"/>
        <w:tblW w:w="101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405"/>
        <w:gridCol w:w="414"/>
        <w:gridCol w:w="414"/>
        <w:gridCol w:w="972"/>
        <w:gridCol w:w="3070"/>
        <w:gridCol w:w="374"/>
        <w:gridCol w:w="374"/>
        <w:gridCol w:w="374"/>
        <w:gridCol w:w="374"/>
        <w:gridCol w:w="374"/>
        <w:gridCol w:w="374"/>
        <w:gridCol w:w="374"/>
        <w:gridCol w:w="374"/>
        <w:gridCol w:w="375"/>
        <w:gridCol w:w="375"/>
        <w:gridCol w:w="375"/>
        <w:gridCol w:w="386"/>
        <w:gridCol w:w="38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40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w:t>
            </w:r>
          </w:p>
          <w:p>
            <w:pPr>
              <w:jc w:val="center"/>
              <w:rPr>
                <w:rFonts w:hint="eastAsia" w:ascii="宋体" w:hAnsi="宋体" w:eastAsia="宋体" w:cs="宋体"/>
                <w:b/>
                <w:bCs/>
                <w:sz w:val="18"/>
                <w:szCs w:val="18"/>
              </w:rPr>
            </w:pPr>
            <w:r>
              <w:rPr>
                <w:rFonts w:hint="eastAsia" w:ascii="宋体" w:hAnsi="宋体" w:eastAsia="宋体" w:cs="宋体"/>
                <w:b/>
                <w:bCs/>
                <w:sz w:val="18"/>
                <w:szCs w:val="18"/>
              </w:rPr>
              <w:t>程</w:t>
            </w:r>
          </w:p>
          <w:p>
            <w:pPr>
              <w:jc w:val="center"/>
              <w:rPr>
                <w:rFonts w:hint="eastAsia" w:ascii="宋体" w:hAnsi="宋体" w:eastAsia="宋体" w:cs="宋体"/>
                <w:b/>
                <w:bCs/>
                <w:sz w:val="18"/>
                <w:szCs w:val="18"/>
              </w:rPr>
            </w:pPr>
            <w:r>
              <w:rPr>
                <w:rFonts w:hint="eastAsia" w:ascii="宋体" w:hAnsi="宋体" w:eastAsia="宋体" w:cs="宋体"/>
                <w:b/>
                <w:bCs/>
                <w:sz w:val="18"/>
                <w:szCs w:val="18"/>
              </w:rPr>
              <w:t>类</w:t>
            </w:r>
          </w:p>
          <w:p>
            <w:pPr>
              <w:jc w:val="center"/>
              <w:rPr>
                <w:rFonts w:hint="eastAsia" w:ascii="宋体" w:hAnsi="宋体" w:eastAsia="宋体" w:cs="宋体"/>
                <w:b/>
                <w:bCs/>
                <w:sz w:val="18"/>
                <w:szCs w:val="18"/>
              </w:rPr>
            </w:pPr>
            <w:r>
              <w:rPr>
                <w:rFonts w:hint="eastAsia" w:ascii="宋体" w:hAnsi="宋体" w:eastAsia="宋体" w:cs="宋体"/>
                <w:b/>
                <w:bCs/>
                <w:sz w:val="18"/>
                <w:szCs w:val="18"/>
              </w:rPr>
              <w:t>别</w:t>
            </w:r>
          </w:p>
        </w:tc>
        <w:tc>
          <w:tcPr>
            <w:tcW w:w="414" w:type="dxa"/>
            <w:vMerge w:val="restart"/>
            <w:tcBorders>
              <w:tl2br w:val="nil"/>
              <w:tr2bl w:val="nil"/>
            </w:tcBorders>
            <w:vAlign w:val="center"/>
          </w:tcPr>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课</w:t>
            </w:r>
          </w:p>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程</w:t>
            </w:r>
          </w:p>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性</w:t>
            </w:r>
          </w:p>
          <w:p>
            <w:pPr>
              <w:jc w:val="center"/>
              <w:rPr>
                <w:rFonts w:hint="default" w:ascii="宋体" w:hAnsi="宋体" w:eastAsia="宋体" w:cs="宋体"/>
                <w:b/>
                <w:bCs/>
                <w:sz w:val="18"/>
                <w:szCs w:val="18"/>
                <w:lang w:val="en-US" w:eastAsia="zh-CN"/>
              </w:rPr>
            </w:pPr>
            <w:r>
              <w:rPr>
                <w:rFonts w:hint="eastAsia" w:ascii="宋体" w:hAnsi="宋体" w:cs="宋体"/>
                <w:b/>
                <w:bCs/>
                <w:sz w:val="18"/>
                <w:szCs w:val="18"/>
                <w:lang w:val="en-US" w:eastAsia="zh-CN"/>
              </w:rPr>
              <w:t>质</w:t>
            </w:r>
          </w:p>
        </w:tc>
        <w:tc>
          <w:tcPr>
            <w:tcW w:w="41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序</w:t>
            </w:r>
          </w:p>
          <w:p>
            <w:pPr>
              <w:jc w:val="center"/>
              <w:rPr>
                <w:rFonts w:hint="eastAsia" w:ascii="宋体" w:hAnsi="宋体" w:eastAsia="宋体" w:cs="宋体"/>
                <w:b/>
                <w:bCs/>
                <w:sz w:val="18"/>
                <w:szCs w:val="18"/>
              </w:rPr>
            </w:pPr>
            <w:r>
              <w:rPr>
                <w:rFonts w:hint="eastAsia" w:ascii="宋体" w:hAnsi="宋体" w:eastAsia="宋体" w:cs="宋体"/>
                <w:b/>
                <w:bCs/>
                <w:sz w:val="18"/>
                <w:szCs w:val="18"/>
              </w:rPr>
              <w:t>号</w:t>
            </w:r>
          </w:p>
        </w:tc>
        <w:tc>
          <w:tcPr>
            <w:tcW w:w="972"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课程</w:t>
            </w:r>
          </w:p>
          <w:p>
            <w:pPr>
              <w:jc w:val="center"/>
              <w:rPr>
                <w:rFonts w:hint="eastAsia" w:ascii="宋体" w:hAnsi="宋体" w:eastAsia="宋体" w:cs="宋体"/>
                <w:b/>
                <w:bCs/>
                <w:sz w:val="18"/>
                <w:szCs w:val="18"/>
              </w:rPr>
            </w:pPr>
            <w:r>
              <w:rPr>
                <w:rFonts w:hint="eastAsia" w:ascii="宋体" w:hAnsi="宋体" w:eastAsia="宋体" w:cs="宋体"/>
                <w:b/>
                <w:bCs/>
                <w:sz w:val="18"/>
                <w:szCs w:val="18"/>
              </w:rPr>
              <w:t>代码</w:t>
            </w:r>
          </w:p>
        </w:tc>
        <w:tc>
          <w:tcPr>
            <w:tcW w:w="3070"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 程 名 称</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分</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总</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p>
            <w:pPr>
              <w:jc w:val="center"/>
              <w:rPr>
                <w:rFonts w:hint="eastAsia" w:ascii="宋体" w:hAnsi="宋体" w:eastAsia="宋体" w:cs="宋体"/>
                <w:b/>
                <w:bCs/>
                <w:sz w:val="18"/>
                <w:szCs w:val="18"/>
              </w:rPr>
            </w:pPr>
            <w:r>
              <w:rPr>
                <w:rFonts w:hint="eastAsia" w:ascii="宋体" w:hAnsi="宋体" w:eastAsia="宋体" w:cs="宋体"/>
                <w:b/>
                <w:bCs/>
                <w:sz w:val="18"/>
                <w:szCs w:val="18"/>
              </w:rPr>
              <w:t>时</w:t>
            </w:r>
          </w:p>
        </w:tc>
        <w:tc>
          <w:tcPr>
            <w:tcW w:w="2994" w:type="dxa"/>
            <w:gridSpan w:val="8"/>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各学期学时分配</w:t>
            </w:r>
          </w:p>
        </w:tc>
        <w:tc>
          <w:tcPr>
            <w:tcW w:w="1147" w:type="dxa"/>
            <w:gridSpan w:val="3"/>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考核</w:t>
            </w:r>
          </w:p>
          <w:p>
            <w:pPr>
              <w:jc w:val="center"/>
              <w:rPr>
                <w:rFonts w:hint="eastAsia" w:ascii="宋体" w:hAnsi="宋体" w:eastAsia="宋体" w:cs="宋体"/>
                <w:b/>
                <w:bCs/>
                <w:sz w:val="18"/>
                <w:szCs w:val="18"/>
              </w:rPr>
            </w:pPr>
            <w:r>
              <w:rPr>
                <w:rFonts w:hint="eastAsia" w:ascii="宋体" w:hAnsi="宋体" w:eastAsia="宋体" w:cs="宋体"/>
                <w:b/>
                <w:bCs/>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2" w:hRule="atLeast"/>
          <w:jc w:val="center"/>
        </w:trPr>
        <w:tc>
          <w:tcPr>
            <w:tcW w:w="405"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972" w:type="dxa"/>
            <w:vMerge w:val="continue"/>
            <w:tcBorders>
              <w:tl2br w:val="nil"/>
              <w:tr2bl w:val="nil"/>
            </w:tcBorders>
            <w:vAlign w:val="center"/>
          </w:tcPr>
          <w:p>
            <w:pPr>
              <w:jc w:val="center"/>
              <w:rPr>
                <w:rFonts w:hint="eastAsia" w:ascii="宋体" w:hAnsi="宋体" w:eastAsia="宋体" w:cs="宋体"/>
                <w:b/>
                <w:bCs/>
                <w:sz w:val="18"/>
                <w:szCs w:val="18"/>
              </w:rPr>
            </w:pPr>
          </w:p>
        </w:tc>
        <w:tc>
          <w:tcPr>
            <w:tcW w:w="3070"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线</w:t>
            </w:r>
          </w:p>
          <w:p>
            <w:pPr>
              <w:jc w:val="center"/>
              <w:rPr>
                <w:rFonts w:hint="eastAsia" w:ascii="宋体" w:hAnsi="宋体" w:eastAsia="宋体" w:cs="宋体"/>
                <w:b/>
                <w:bCs/>
                <w:sz w:val="18"/>
                <w:szCs w:val="18"/>
              </w:rPr>
            </w:pPr>
            <w:r>
              <w:rPr>
                <w:rFonts w:hint="eastAsia" w:ascii="宋体" w:hAnsi="宋体" w:eastAsia="宋体" w:cs="宋体"/>
                <w:b/>
                <w:bCs/>
                <w:sz w:val="18"/>
                <w:szCs w:val="18"/>
              </w:rPr>
              <w:t>上</w:t>
            </w:r>
          </w:p>
          <w:p>
            <w:pPr>
              <w:jc w:val="center"/>
              <w:rPr>
                <w:rFonts w:hint="eastAsia" w:ascii="宋体" w:hAnsi="宋体" w:eastAsia="宋体" w:cs="宋体"/>
                <w:b/>
                <w:bCs/>
                <w:sz w:val="18"/>
                <w:szCs w:val="18"/>
              </w:rPr>
            </w:pPr>
            <w:r>
              <w:rPr>
                <w:rFonts w:hint="eastAsia" w:ascii="宋体" w:hAnsi="宋体" w:eastAsia="宋体" w:cs="宋体"/>
                <w:b/>
                <w:bCs/>
                <w:sz w:val="18"/>
                <w:szCs w:val="18"/>
              </w:rPr>
              <w:t>教</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线</w:t>
            </w:r>
          </w:p>
          <w:p>
            <w:pPr>
              <w:jc w:val="center"/>
              <w:rPr>
                <w:rFonts w:hint="eastAsia" w:ascii="宋体" w:hAnsi="宋体" w:eastAsia="宋体" w:cs="宋体"/>
                <w:b/>
                <w:bCs/>
                <w:sz w:val="18"/>
                <w:szCs w:val="18"/>
              </w:rPr>
            </w:pPr>
            <w:r>
              <w:rPr>
                <w:rFonts w:hint="eastAsia" w:ascii="宋体" w:hAnsi="宋体" w:eastAsia="宋体" w:cs="宋体"/>
                <w:b/>
                <w:bCs/>
                <w:sz w:val="18"/>
                <w:szCs w:val="18"/>
              </w:rPr>
              <w:t>下</w:t>
            </w:r>
          </w:p>
          <w:p>
            <w:pPr>
              <w:jc w:val="center"/>
              <w:rPr>
                <w:rFonts w:hint="eastAsia" w:ascii="宋体" w:hAnsi="宋体" w:eastAsia="宋体" w:cs="宋体"/>
                <w:b/>
                <w:bCs/>
                <w:sz w:val="18"/>
                <w:szCs w:val="18"/>
              </w:rPr>
            </w:pPr>
            <w:r>
              <w:rPr>
                <w:rFonts w:hint="eastAsia" w:ascii="宋体" w:hAnsi="宋体" w:eastAsia="宋体" w:cs="宋体"/>
                <w:b/>
                <w:bCs/>
                <w:sz w:val="18"/>
                <w:szCs w:val="18"/>
              </w:rPr>
              <w:t>教</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w:t>
            </w:r>
          </w:p>
          <w:p>
            <w:pPr>
              <w:jc w:val="center"/>
              <w:rPr>
                <w:rFonts w:hint="eastAsia" w:ascii="宋体" w:hAnsi="宋体" w:eastAsia="宋体" w:cs="宋体"/>
                <w:b/>
                <w:bCs/>
                <w:sz w:val="18"/>
                <w:szCs w:val="18"/>
              </w:rPr>
            </w:pPr>
            <w:r>
              <w:rPr>
                <w:rFonts w:hint="eastAsia" w:ascii="宋体" w:hAnsi="宋体" w:eastAsia="宋体" w:cs="宋体"/>
                <w:b/>
                <w:bCs/>
                <w:sz w:val="18"/>
                <w:szCs w:val="18"/>
              </w:rPr>
              <w:t>验</w:t>
            </w:r>
          </w:p>
          <w:p>
            <w:pPr>
              <w:jc w:val="center"/>
              <w:rPr>
                <w:rFonts w:hint="eastAsia" w:ascii="宋体" w:hAnsi="宋体" w:eastAsia="宋体" w:cs="宋体"/>
                <w:b/>
                <w:bCs/>
                <w:sz w:val="18"/>
                <w:szCs w:val="18"/>
              </w:rPr>
            </w:pPr>
            <w:r>
              <w:rPr>
                <w:rFonts w:hint="eastAsia" w:ascii="宋体" w:hAnsi="宋体" w:eastAsia="宋体" w:cs="宋体"/>
                <w:b/>
                <w:bCs/>
                <w:sz w:val="18"/>
                <w:szCs w:val="18"/>
              </w:rPr>
              <w:t>实</w:t>
            </w:r>
          </w:p>
          <w:p>
            <w:pPr>
              <w:jc w:val="center"/>
              <w:rPr>
                <w:rFonts w:hint="eastAsia" w:ascii="宋体" w:hAnsi="宋体" w:eastAsia="宋体" w:cs="宋体"/>
                <w:b/>
                <w:bCs/>
                <w:sz w:val="18"/>
                <w:szCs w:val="18"/>
              </w:rPr>
            </w:pPr>
            <w:r>
              <w:rPr>
                <w:rFonts w:hint="eastAsia" w:ascii="宋体" w:hAnsi="宋体" w:eastAsia="宋体" w:cs="宋体"/>
                <w:b/>
                <w:bCs/>
                <w:sz w:val="18"/>
                <w:szCs w:val="18"/>
              </w:rPr>
              <w:t>训</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一</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二</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三</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四</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五</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过</w:t>
            </w:r>
          </w:p>
          <w:p>
            <w:pPr>
              <w:jc w:val="center"/>
              <w:rPr>
                <w:rFonts w:hint="eastAsia" w:ascii="宋体" w:hAnsi="宋体" w:eastAsia="宋体" w:cs="宋体"/>
                <w:b/>
                <w:bCs/>
                <w:sz w:val="18"/>
                <w:szCs w:val="18"/>
              </w:rPr>
            </w:pPr>
            <w:r>
              <w:rPr>
                <w:rFonts w:hint="eastAsia" w:ascii="宋体" w:hAnsi="宋体" w:eastAsia="宋体" w:cs="宋体"/>
                <w:b/>
                <w:bCs/>
                <w:sz w:val="18"/>
                <w:szCs w:val="18"/>
              </w:rPr>
              <w:t>程</w:t>
            </w:r>
          </w:p>
          <w:p>
            <w:pPr>
              <w:jc w:val="center"/>
              <w:rPr>
                <w:rFonts w:hint="eastAsia" w:ascii="宋体" w:hAnsi="宋体" w:eastAsia="宋体" w:cs="宋体"/>
                <w:b/>
                <w:bCs/>
                <w:sz w:val="18"/>
                <w:szCs w:val="18"/>
              </w:rPr>
            </w:pPr>
            <w:r>
              <w:rPr>
                <w:rFonts w:hint="eastAsia" w:ascii="宋体" w:hAnsi="宋体" w:eastAsia="宋体" w:cs="宋体"/>
                <w:b/>
                <w:bCs/>
                <w:sz w:val="18"/>
                <w:szCs w:val="18"/>
              </w:rPr>
              <w:t>性</w:t>
            </w:r>
          </w:p>
          <w:p>
            <w:pPr>
              <w:jc w:val="center"/>
              <w:rPr>
                <w:rFonts w:hint="eastAsia" w:ascii="宋体" w:hAnsi="宋体" w:eastAsia="宋体" w:cs="宋体"/>
                <w:b/>
                <w:bCs/>
                <w:sz w:val="18"/>
                <w:szCs w:val="18"/>
              </w:rPr>
            </w:pPr>
            <w:r>
              <w:rPr>
                <w:rFonts w:hint="eastAsia" w:ascii="宋体" w:hAnsi="宋体" w:eastAsia="宋体" w:cs="宋体"/>
                <w:b/>
                <w:bCs/>
                <w:sz w:val="18"/>
                <w:szCs w:val="18"/>
              </w:rPr>
              <w:t>考</w:t>
            </w:r>
          </w:p>
          <w:p>
            <w:pPr>
              <w:jc w:val="center"/>
              <w:rPr>
                <w:rFonts w:hint="eastAsia" w:ascii="宋体" w:hAnsi="宋体" w:eastAsia="宋体" w:cs="宋体"/>
                <w:b/>
                <w:bCs/>
                <w:sz w:val="18"/>
                <w:szCs w:val="18"/>
              </w:rPr>
            </w:pPr>
            <w:r>
              <w:rPr>
                <w:rFonts w:hint="eastAsia" w:ascii="宋体" w:hAnsi="宋体" w:eastAsia="宋体" w:cs="宋体"/>
                <w:b/>
                <w:bCs/>
                <w:sz w:val="18"/>
                <w:szCs w:val="18"/>
              </w:rPr>
              <w:t>核</w:t>
            </w:r>
          </w:p>
        </w:tc>
        <w:tc>
          <w:tcPr>
            <w:tcW w:w="772" w:type="dxa"/>
            <w:gridSpan w:val="2"/>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终结性</w:t>
            </w:r>
          </w:p>
          <w:p>
            <w:pPr>
              <w:jc w:val="center"/>
              <w:rPr>
                <w:rFonts w:hint="eastAsia" w:ascii="宋体" w:hAnsi="宋体" w:eastAsia="宋体" w:cs="宋体"/>
                <w:b/>
                <w:bCs/>
                <w:sz w:val="18"/>
                <w:szCs w:val="18"/>
              </w:rPr>
            </w:pPr>
            <w:r>
              <w:rPr>
                <w:rFonts w:hint="eastAsia" w:ascii="宋体" w:hAnsi="宋体" w:eastAsia="宋体" w:cs="宋体"/>
                <w:b/>
                <w:bCs/>
                <w:sz w:val="18"/>
                <w:szCs w:val="18"/>
              </w:rPr>
              <w:t>考核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405"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972" w:type="dxa"/>
            <w:vMerge w:val="continue"/>
            <w:tcBorders>
              <w:tl2br w:val="nil"/>
              <w:tr2bl w:val="nil"/>
            </w:tcBorders>
            <w:vAlign w:val="center"/>
          </w:tcPr>
          <w:p>
            <w:pPr>
              <w:jc w:val="center"/>
              <w:rPr>
                <w:rFonts w:hint="eastAsia" w:ascii="宋体" w:hAnsi="宋体" w:eastAsia="宋体" w:cs="宋体"/>
                <w:b/>
                <w:bCs/>
                <w:sz w:val="18"/>
                <w:szCs w:val="18"/>
              </w:rPr>
            </w:pPr>
          </w:p>
        </w:tc>
        <w:tc>
          <w:tcPr>
            <w:tcW w:w="3070"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闭卷</w:t>
            </w: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开卷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eastAsia="宋体" w:cs="宋体"/>
                <w:sz w:val="18"/>
                <w:szCs w:val="18"/>
              </w:rPr>
            </w:pPr>
            <w:bookmarkStart w:id="0" w:name="_Hlk263065686"/>
            <w:r>
              <w:rPr>
                <w:rFonts w:hint="eastAsia" w:ascii="宋体" w:hAnsi="宋体" w:eastAsia="宋体" w:cs="宋体"/>
                <w:sz w:val="18"/>
                <w:szCs w:val="18"/>
              </w:rPr>
              <w:t>通</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识</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教</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育</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课</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程</w:t>
            </w:r>
          </w:p>
        </w:tc>
        <w:tc>
          <w:tcPr>
            <w:tcW w:w="414" w:type="dxa"/>
            <w:vMerge w:val="restart"/>
            <w:tcBorders>
              <w:tl2br w:val="nil"/>
              <w:tr2bl w:val="nil"/>
            </w:tcBorders>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思</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想</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政</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治</w:t>
            </w:r>
          </w:p>
          <w:p>
            <w:pPr>
              <w:spacing w:line="280" w:lineRule="exact"/>
              <w:jc w:val="center"/>
              <w:rPr>
                <w:rFonts w:hint="eastAsia" w:ascii="宋体" w:hAnsi="宋体" w:eastAsia="宋体" w:cs="宋体"/>
                <w:sz w:val="18"/>
                <w:szCs w:val="18"/>
                <w:lang w:eastAsia="zh-CN"/>
              </w:rPr>
            </w:pPr>
            <w:r>
              <w:rPr>
                <w:rFonts w:hint="eastAsia" w:ascii="宋体" w:hAnsi="宋体" w:cs="宋体"/>
                <w:sz w:val="18"/>
                <w:szCs w:val="18"/>
                <w:lang w:val="en-US" w:eastAsia="zh-CN"/>
              </w:rPr>
              <w:t>·</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必</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0299053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思想道德与法治</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p>
        </w:tc>
      </w:tr>
      <w:bookmarkEnd w:id="0"/>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0200073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中国近代史纲要</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0200064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形势与政策Ⅰ</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0200013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马克思主义基本原理概论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08170001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spacing w:val="-17"/>
                <w:kern w:val="0"/>
                <w:sz w:val="18"/>
                <w:szCs w:val="18"/>
                <w:u w:val="none"/>
                <w:lang w:val="en-US" w:eastAsia="zh-CN" w:bidi="ar"/>
              </w:rPr>
              <w:t>毛泽东思想与中国特色社会主义理论体系概论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0200065</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形势与政策Ⅱ</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08170002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spacing w:val="-6"/>
                <w:kern w:val="0"/>
                <w:sz w:val="18"/>
                <w:szCs w:val="18"/>
                <w:u w:val="none"/>
                <w:lang w:val="en-US" w:eastAsia="zh-CN" w:bidi="ar"/>
              </w:rPr>
              <w:t>习近平新时代中国特色社会主义思想概论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0200066</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形势与政策Ⅲ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9</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0200067</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形势与政策Ⅳ</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9</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restart"/>
            <w:tcBorders>
              <w:tl2br w:val="nil"/>
              <w:tr2bl w:val="nil"/>
            </w:tcBorders>
            <w:vAlign w:val="center"/>
          </w:tcPr>
          <w:p>
            <w:pPr>
              <w:spacing w:line="280" w:lineRule="exact"/>
              <w:jc w:val="center"/>
              <w:rPr>
                <w:rFonts w:hint="eastAsia" w:ascii="宋体" w:hAnsi="宋体" w:cs="宋体"/>
                <w:sz w:val="16"/>
                <w:szCs w:val="16"/>
                <w:lang w:val="en-US" w:eastAsia="zh-CN"/>
              </w:rPr>
            </w:pPr>
            <w:r>
              <w:rPr>
                <w:rFonts w:hint="eastAsia" w:ascii="宋体" w:hAnsi="宋体" w:cs="宋体"/>
                <w:sz w:val="16"/>
                <w:szCs w:val="16"/>
                <w:lang w:val="en-US" w:eastAsia="zh-CN"/>
              </w:rPr>
              <w:t>思想政治</w:t>
            </w:r>
          </w:p>
          <w:p>
            <w:pPr>
              <w:spacing w:line="280" w:lineRule="exact"/>
              <w:jc w:val="center"/>
              <w:rPr>
                <w:rFonts w:hint="eastAsia" w:ascii="宋体" w:hAnsi="宋体" w:cs="宋体"/>
                <w:sz w:val="16"/>
                <w:szCs w:val="16"/>
                <w:lang w:val="en-US" w:eastAsia="zh-CN"/>
              </w:rPr>
            </w:pPr>
            <w:r>
              <w:rPr>
                <w:rFonts w:hint="eastAsia" w:ascii="宋体" w:hAnsi="宋体" w:cs="宋体"/>
                <w:sz w:val="16"/>
                <w:szCs w:val="16"/>
                <w:lang w:val="en-US" w:eastAsia="zh-CN"/>
              </w:rPr>
              <w:t>·</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6"/>
                <w:szCs w:val="16"/>
                <w:lang w:val="en-US" w:eastAsia="zh-CN"/>
              </w:rPr>
              <w:t>限选</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党史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新中国史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改革开放史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社会主义发展史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0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运动与健</w:t>
            </w:r>
          </w:p>
          <w:p>
            <w:pPr>
              <w:keepNext w:val="0"/>
              <w:keepLines w:val="0"/>
              <w:pageBreakBefore w:val="0"/>
              <w:widowControl w:val="0"/>
              <w:kinsoku/>
              <w:wordWrap/>
              <w:overflowPunct/>
              <w:topLinePunct w:val="0"/>
              <w:autoSpaceDE/>
              <w:autoSpaceDN/>
              <w:bidi w:val="0"/>
              <w:adjustRightInd/>
              <w:snapToGrid/>
              <w:spacing w:line="100" w:lineRule="exact"/>
              <w:jc w:val="center"/>
              <w:textAlignment w:val="auto"/>
              <w:rPr>
                <w:rFonts w:hint="eastAsia" w:ascii="宋体" w:hAnsi="宋体" w:eastAsia="宋体" w:cs="宋体"/>
                <w:sz w:val="18"/>
                <w:szCs w:val="18"/>
              </w:rPr>
            </w:pPr>
            <w:r>
              <w:rPr>
                <w:rFonts w:hint="eastAsia" w:ascii="宋体" w:hAnsi="宋体" w:eastAsia="宋体" w:cs="宋体"/>
                <w:sz w:val="10"/>
                <w:szCs w:val="10"/>
              </w:rPr>
              <w:t>康</w:t>
            </w:r>
            <w:r>
              <w:rPr>
                <w:rFonts w:hint="eastAsia" w:ascii="宋体" w:hAnsi="宋体" w:cs="宋体"/>
                <w:sz w:val="10"/>
                <w:szCs w:val="10"/>
                <w:lang w:val="en-US" w:eastAsia="zh-CN"/>
              </w:rPr>
              <w:t>·</w:t>
            </w:r>
            <w:r>
              <w:rPr>
                <w:rFonts w:hint="eastAsia" w:ascii="宋体" w:hAnsi="宋体" w:eastAsia="宋体" w:cs="宋体"/>
                <w:sz w:val="10"/>
                <w:szCs w:val="10"/>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0400162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心理健康</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自然与科</w:t>
            </w:r>
          </w:p>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ascii="宋体" w:hAnsi="宋体" w:eastAsia="宋体" w:cs="宋体"/>
                <w:sz w:val="18"/>
                <w:szCs w:val="18"/>
              </w:rPr>
            </w:pPr>
            <w:r>
              <w:rPr>
                <w:rFonts w:hint="eastAsia" w:ascii="宋体" w:hAnsi="宋体" w:eastAsia="宋体" w:cs="宋体"/>
                <w:sz w:val="10"/>
                <w:szCs w:val="10"/>
              </w:rPr>
              <w:t>技</w:t>
            </w:r>
            <w:r>
              <w:rPr>
                <w:rFonts w:hint="eastAsia" w:ascii="宋体" w:hAnsi="宋体" w:cs="宋体"/>
                <w:sz w:val="10"/>
                <w:szCs w:val="10"/>
                <w:lang w:val="en-US" w:eastAsia="zh-CN"/>
              </w:rPr>
              <w:t>·</w:t>
            </w:r>
            <w:r>
              <w:rPr>
                <w:rFonts w:hint="eastAsia" w:ascii="宋体" w:hAnsi="宋体" w:eastAsia="宋体" w:cs="宋体"/>
                <w:sz w:val="10"/>
                <w:szCs w:val="10"/>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0200212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计算机应用基础</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46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pacing w:val="0"/>
                <w:sz w:val="13"/>
                <w:szCs w:val="13"/>
              </w:rPr>
            </w:pPr>
            <w:r>
              <w:rPr>
                <w:rFonts w:hint="eastAsia" w:ascii="宋体" w:hAnsi="宋体" w:eastAsia="宋体" w:cs="宋体"/>
                <w:spacing w:val="0"/>
                <w:sz w:val="13"/>
                <w:szCs w:val="13"/>
              </w:rPr>
              <w:t>表达</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pacing w:val="0"/>
                <w:sz w:val="13"/>
                <w:szCs w:val="13"/>
              </w:rPr>
            </w:pPr>
            <w:r>
              <w:rPr>
                <w:rFonts w:hint="eastAsia" w:ascii="宋体" w:hAnsi="宋体" w:eastAsia="宋体" w:cs="宋体"/>
                <w:spacing w:val="0"/>
                <w:sz w:val="13"/>
                <w:szCs w:val="13"/>
              </w:rPr>
              <w:t>与沟</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cs="宋体"/>
                <w:spacing w:val="0"/>
                <w:sz w:val="13"/>
                <w:szCs w:val="13"/>
                <w:lang w:val="en-US" w:eastAsia="zh-CN"/>
              </w:rPr>
            </w:pPr>
            <w:r>
              <w:rPr>
                <w:rFonts w:hint="eastAsia" w:ascii="宋体" w:hAnsi="宋体" w:eastAsia="宋体" w:cs="宋体"/>
                <w:spacing w:val="0"/>
                <w:sz w:val="13"/>
                <w:szCs w:val="13"/>
              </w:rPr>
              <w:t>通</w:t>
            </w:r>
            <w:r>
              <w:rPr>
                <w:rFonts w:hint="eastAsia" w:ascii="宋体" w:hAnsi="宋体" w:cs="宋体"/>
                <w:spacing w:val="0"/>
                <w:sz w:val="13"/>
                <w:szCs w:val="13"/>
                <w:lang w:val="en-US" w:eastAsia="zh-CN"/>
              </w:rPr>
              <w:t>·</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z w:val="18"/>
                <w:szCs w:val="18"/>
              </w:rPr>
            </w:pPr>
            <w:r>
              <w:rPr>
                <w:rFonts w:hint="eastAsia" w:ascii="宋体" w:hAnsi="宋体" w:eastAsia="宋体" w:cs="宋体"/>
                <w:spacing w:val="0"/>
                <w:sz w:val="13"/>
                <w:szCs w:val="13"/>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0599012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大学英语Ⅰ</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28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0599022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大学英语Ⅱ</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28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color w:val="auto"/>
                <w:sz w:val="18"/>
                <w:szCs w:val="18"/>
                <w:lang w:val="en-US" w:eastAsia="zh-CN"/>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val="0"/>
                <w:bCs w:val="0"/>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学</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科</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基</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础</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0302072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新闻学概论</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0300022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基础写作</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0302402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基础摄影</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28</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0503012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传播学概论</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0327012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社会学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0502102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新媒体概论</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0502412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马克思主义新闻观</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18</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0502132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媒介伦理与法规</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0300342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新闻传播学研究方法</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jc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专业课程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0527502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广播电视新闻报道</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0322132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广告学概论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0502693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新闻评论</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0502152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媒介经营与管理</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0502292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国际传播</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0512822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融合新闻</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0527212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数据新闻</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0527442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网络舆情分析</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0502992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新闻编辑</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default" w:ascii="宋体" w:hAnsi="宋体" w:eastAsia="宋体" w:cs="宋体"/>
                <w:sz w:val="18"/>
                <w:szCs w:val="18"/>
                <w:lang w:val="en-US" w:eastAsia="zh-CN"/>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lang w:val="en-US" w:eastAsia="zh-CN"/>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0502912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新闻采访与写作Ⅰ</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28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0502192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新闻采访与写作Ⅱ</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28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0512992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新闻摄影摄像</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0502232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中国新闻事业史</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40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0502222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外国新闻事业史</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0502552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专业新闻与深度报道</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42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0527942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新闻策划</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综</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合</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实</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践</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43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0000112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入学教育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44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0000111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劳动教育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45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0000041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毕业教育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18</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46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0000024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毕业实习</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72</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47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0521016</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毕业论文（设计）</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108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108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108</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5275" w:type="dxa"/>
            <w:gridSpan w:val="5"/>
            <w:tcBorders>
              <w:tl2br w:val="nil"/>
              <w:tr2bl w:val="nil"/>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 xml:space="preserve">  合  计</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sz w:val="16"/>
                <w:szCs w:val="16"/>
                <w:lang w:val="en-US" w:eastAsia="zh-CN"/>
              </w:rPr>
            </w:pPr>
            <w:r>
              <w:rPr>
                <w:rFonts w:hint="eastAsia" w:ascii="宋体" w:hAnsi="宋体" w:cs="宋体"/>
                <w:sz w:val="16"/>
                <w:szCs w:val="16"/>
                <w:lang w:val="en-US" w:eastAsia="zh-CN"/>
              </w:rPr>
              <w:t>91</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1638</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1406</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92</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248</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351</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387</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333</w:t>
            </w:r>
          </w:p>
        </w:tc>
        <w:tc>
          <w:tcPr>
            <w:tcW w:w="375"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369</w:t>
            </w:r>
          </w:p>
        </w:tc>
        <w:tc>
          <w:tcPr>
            <w:tcW w:w="375"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198</w:t>
            </w:r>
          </w:p>
        </w:tc>
        <w:tc>
          <w:tcPr>
            <w:tcW w:w="1147" w:type="dxa"/>
            <w:gridSpan w:val="3"/>
            <w:vMerge w:val="restart"/>
            <w:tcBorders>
              <w:tl2br w:val="nil"/>
              <w:tr2bl w:val="nil"/>
            </w:tcBorders>
            <w:vAlign w:val="center"/>
          </w:tcPr>
          <w:p>
            <w:pPr>
              <w:snapToGrid w:val="0"/>
              <w:jc w:val="center"/>
              <w:rPr>
                <w:rFonts w:hint="eastAsia" w:ascii="宋体" w:hAnsi="宋体" w:eastAsia="宋体" w:cs="宋体"/>
                <w:b/>
                <w:bCs/>
                <w:sz w:val="18"/>
                <w:szCs w:val="18"/>
              </w:rPr>
            </w:pPr>
          </w:p>
          <w:p>
            <w:pPr>
              <w:snapToGrid w:val="0"/>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6023" w:type="dxa"/>
            <w:gridSpan w:val="7"/>
            <w:tcBorders>
              <w:tl2br w:val="nil"/>
              <w:tr2bl w:val="nil"/>
            </w:tcBorders>
            <w:vAlign w:val="center"/>
          </w:tcPr>
          <w:p>
            <w:pPr>
              <w:jc w:val="center"/>
              <w:rPr>
                <w:rFonts w:hint="eastAsia" w:ascii="宋体" w:hAnsi="宋体" w:eastAsia="宋体" w:cs="宋体"/>
                <w:sz w:val="16"/>
                <w:szCs w:val="16"/>
              </w:rPr>
            </w:pPr>
            <w:r>
              <w:rPr>
                <w:rFonts w:hint="eastAsia" w:ascii="宋体" w:hAnsi="宋体" w:eastAsia="宋体" w:cs="宋体"/>
                <w:sz w:val="18"/>
                <w:szCs w:val="18"/>
              </w:rPr>
              <w:t>百分比（%）</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79.2</w:t>
            </w:r>
            <w:bookmarkStart w:id="1" w:name="_GoBack"/>
            <w:bookmarkEnd w:id="1"/>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5.6</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15.1</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21.4</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23.6</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20.3</w:t>
            </w:r>
          </w:p>
        </w:tc>
        <w:tc>
          <w:tcPr>
            <w:tcW w:w="375"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22.5</w:t>
            </w:r>
          </w:p>
        </w:tc>
        <w:tc>
          <w:tcPr>
            <w:tcW w:w="375"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12.1</w:t>
            </w:r>
          </w:p>
        </w:tc>
        <w:tc>
          <w:tcPr>
            <w:tcW w:w="1147" w:type="dxa"/>
            <w:gridSpan w:val="3"/>
            <w:vMerge w:val="continue"/>
            <w:tcBorders>
              <w:tl2br w:val="nil"/>
              <w:tr2bl w:val="nil"/>
            </w:tcBorders>
            <w:vAlign w:val="center"/>
          </w:tcPr>
          <w:p>
            <w:pPr>
              <w:jc w:val="center"/>
              <w:rPr>
                <w:rFonts w:hint="eastAsia" w:ascii="宋体" w:hAnsi="宋体" w:eastAsia="宋体" w:cs="宋体"/>
                <w:b/>
                <w:bCs/>
                <w:sz w:val="18"/>
                <w:szCs w:val="18"/>
              </w:rPr>
            </w:pPr>
          </w:p>
        </w:tc>
      </w:tr>
    </w:tbl>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注释：</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1.专业核心课程用*表示；</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2.每门课的考核要求见“</w:t>
      </w:r>
      <w:r>
        <w:rPr>
          <w:rFonts w:hint="eastAsia" w:ascii="宋体" w:hAnsi="宋体" w:eastAsia="宋体" w:cs="宋体"/>
          <w:sz w:val="21"/>
          <w:szCs w:val="21"/>
          <w:lang w:val="en-US" w:eastAsia="zh-CN"/>
        </w:rPr>
        <w:t>新闻学</w:t>
      </w:r>
      <w:r>
        <w:rPr>
          <w:rFonts w:hint="eastAsia" w:ascii="宋体" w:hAnsi="宋体" w:eastAsia="宋体" w:cs="宋体"/>
          <w:sz w:val="21"/>
          <w:szCs w:val="21"/>
        </w:rPr>
        <w:t>教学进程安排表”，打“√”的为该门课的考核方式</w:t>
      </w:r>
      <w:r>
        <w:rPr>
          <w:rFonts w:hint="eastAsia" w:ascii="宋体" w:hAnsi="宋体" w:cs="宋体"/>
          <w:sz w:val="21"/>
          <w:szCs w:val="21"/>
          <w:lang w:eastAsia="zh-CN"/>
        </w:rPr>
        <w:t>；</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3.思想政治·限选四史类必修课2学分：党史、新中国史、改革开放史、社会主义发展史。</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r>
        <w:rPr>
          <w:rFonts w:hint="eastAsia" w:ascii="仿宋_GB2312" w:hAnsi="仿宋_GB2312" w:eastAsia="仿宋_GB2312" w:cs="仿宋_GB2312"/>
          <w:b/>
          <w:bCs/>
          <w:sz w:val="24"/>
          <w:szCs w:val="24"/>
          <w:highlight w:val="none"/>
        </w:rPr>
        <w:br w:type="page"/>
      </w:r>
    </w:p>
    <w:p>
      <w:pPr>
        <w:pStyle w:val="3"/>
        <w:pageBreakBefore w:val="0"/>
        <w:numPr>
          <w:ilvl w:val="0"/>
          <w:numId w:val="1"/>
        </w:numPr>
        <w:kinsoku/>
        <w:wordWrap/>
        <w:overflowPunct/>
        <w:topLinePunct w:val="0"/>
        <w:autoSpaceDE/>
        <w:autoSpaceDN/>
        <w:bidi w:val="0"/>
        <w:adjustRightInd/>
        <w:snapToGrid/>
        <w:spacing w:before="0" w:after="0" w:line="500" w:lineRule="exact"/>
        <w:ind w:left="0" w:leftChars="0" w:firstLine="420" w:firstLineChars="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实施保障</w:t>
      </w:r>
    </w:p>
    <w:p>
      <w:pPr>
        <w:pStyle w:val="3"/>
        <w:keepNext/>
        <w:keepLines/>
        <w:pageBreakBefore w:val="0"/>
        <w:widowControl w:val="0"/>
        <w:numPr>
          <w:ilvl w:val="0"/>
          <w:numId w:val="4"/>
        </w:numPr>
        <w:kinsoku/>
        <w:wordWrap/>
        <w:overflowPunct/>
        <w:topLinePunct w:val="0"/>
        <w:autoSpaceDE/>
        <w:autoSpaceDN/>
        <w:bidi w:val="0"/>
        <w:adjustRightInd/>
        <w:snapToGrid/>
        <w:spacing w:before="0" w:after="0" w:line="500" w:lineRule="exact"/>
        <w:ind w:left="0" w:leftChars="0" w:firstLine="482" w:firstLineChars="200"/>
        <w:textAlignment w:val="auto"/>
        <w:rPr>
          <w:rFonts w:hint="eastAsia" w:ascii="仿宋_GB2312" w:hAnsi="仿宋_GB2312" w:eastAsia="仿宋_GB2312" w:cs="仿宋_GB2312"/>
          <w:color w:val="000000"/>
          <w:kern w:val="0"/>
          <w:sz w:val="24"/>
          <w:szCs w:val="24"/>
          <w:highlight w:val="none"/>
          <w:u w:val="single"/>
          <w:lang w:bidi="ar"/>
        </w:rPr>
      </w:pPr>
      <w:r>
        <w:rPr>
          <w:rFonts w:hint="eastAsia" w:ascii="楷体_GB2312" w:hAnsi="楷体_GB2312" w:eastAsia="楷体_GB2312" w:cs="楷体_GB2312"/>
          <w:sz w:val="24"/>
          <w:szCs w:val="24"/>
          <w:highlight w:val="none"/>
        </w:rPr>
        <w:t>教材选用</w:t>
      </w:r>
    </w:p>
    <w:p>
      <w:pPr>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sz w:val="24"/>
          <w:szCs w:val="24"/>
          <w:highlight w:val="none"/>
          <w:u w:val="none"/>
        </w:rPr>
      </w:pPr>
      <w:r>
        <w:rPr>
          <w:rFonts w:ascii="仿宋_GB2312" w:hAnsi="仿宋_GB2312" w:eastAsia="仿宋_GB2312" w:cs="仿宋_GB2312"/>
          <w:sz w:val="24"/>
          <w:szCs w:val="24"/>
          <w:lang w:val="zh-TW" w:eastAsia="zh-TW"/>
        </w:rPr>
        <w:t>规范教材选用，增强教材育人功能。鼓励各专业开发适应学习者在职学习需要、深度广度与人才培养目标相匹配、满足交互式学习要求的高质量教材。</w:t>
      </w:r>
    </w:p>
    <w:p>
      <w:pPr>
        <w:pStyle w:val="3"/>
        <w:keepNext/>
        <w:keepLines/>
        <w:pageBreakBefore w:val="0"/>
        <w:widowControl w:val="0"/>
        <w:numPr>
          <w:ilvl w:val="0"/>
          <w:numId w:val="4"/>
        </w:numPr>
        <w:kinsoku/>
        <w:wordWrap/>
        <w:overflowPunct/>
        <w:topLinePunct w:val="0"/>
        <w:autoSpaceDE/>
        <w:autoSpaceDN/>
        <w:bidi w:val="0"/>
        <w:adjustRightInd/>
        <w:snapToGrid/>
        <w:spacing w:before="0" w:after="0" w:line="500" w:lineRule="exact"/>
        <w:ind w:left="0" w:leftChars="0" w:firstLine="482" w:firstLineChars="20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师资队伍</w:t>
      </w:r>
    </w:p>
    <w:p>
      <w:pPr>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u w:val="none"/>
        </w:rPr>
      </w:pPr>
      <w:r>
        <w:rPr>
          <w:rFonts w:ascii="仿宋_GB2312" w:hAnsi="仿宋_GB2312" w:eastAsia="仿宋_GB2312" w:cs="仿宋_GB2312"/>
          <w:kern w:val="0"/>
          <w:sz w:val="24"/>
          <w:szCs w:val="24"/>
          <w:lang w:val="zh-TW" w:eastAsia="zh-TW"/>
        </w:rPr>
        <w:t>传播与传媒学院拥有一流的师资队伍，现有专兼职教师100余人。新闻学专业是传媒学院的第一大专业，现有专任教师25人，其中教授3人，副教授5人，讲师4人，双师型教师9人。新闻学专任教师具有扎实的新闻理论知识和丰富的新闻行业从业经验，长江韬奋奖获得者王健高级记者担任新闻学系主任，西北民族大学新闻传播学院原院长刘俭云教授担任新闻学专业负责人。近年来，本专业教师主持和参与的省部级等科研项目达10项。</w:t>
      </w:r>
    </w:p>
    <w:p>
      <w:pPr>
        <w:pStyle w:val="3"/>
        <w:keepNext/>
        <w:keepLines/>
        <w:pageBreakBefore w:val="0"/>
        <w:widowControl w:val="0"/>
        <w:numPr>
          <w:ilvl w:val="0"/>
          <w:numId w:val="4"/>
        </w:numPr>
        <w:kinsoku/>
        <w:wordWrap/>
        <w:overflowPunct/>
        <w:topLinePunct w:val="0"/>
        <w:autoSpaceDE/>
        <w:autoSpaceDN/>
        <w:bidi w:val="0"/>
        <w:adjustRightInd/>
        <w:snapToGrid/>
        <w:spacing w:before="0" w:after="0" w:line="500" w:lineRule="exact"/>
        <w:ind w:left="0" w:leftChars="0" w:firstLine="482" w:firstLineChars="20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教学及实验实训条件</w:t>
      </w:r>
    </w:p>
    <w:p>
      <w:pPr>
        <w:pStyle w:val="2"/>
        <w:pageBreakBefore w:val="0"/>
        <w:kinsoku/>
        <w:wordWrap/>
        <w:overflowPunct/>
        <w:topLinePunct w:val="0"/>
        <w:autoSpaceDE/>
        <w:autoSpaceDN/>
        <w:bidi w:val="0"/>
        <w:adjustRightInd/>
        <w:snapToGrid/>
        <w:spacing w:line="500" w:lineRule="exact"/>
        <w:ind w:firstLine="480"/>
        <w:textAlignment w:val="auto"/>
        <w:rPr>
          <w:rFonts w:hint="eastAsia" w:ascii="仿宋_GB2312" w:hAnsi="仿宋_GB2312" w:eastAsia="仿宋_GB2312" w:cs="仿宋_GB2312"/>
          <w:color w:val="000000"/>
          <w:kern w:val="0"/>
          <w:sz w:val="24"/>
          <w:szCs w:val="24"/>
          <w:highlight w:val="none"/>
          <w:u w:val="none"/>
          <w:lang w:bidi="ar"/>
        </w:rPr>
      </w:pPr>
      <w:r>
        <w:rPr>
          <w:rFonts w:hint="eastAsia" w:ascii="仿宋_GB2312" w:hAnsi="仿宋_GB2312" w:eastAsia="仿宋_GB2312" w:cs="仿宋_GB2312"/>
          <w:sz w:val="24"/>
          <w:szCs w:val="24"/>
          <w:lang w:val="zh-TW" w:eastAsia="zh-TW"/>
        </w:rPr>
        <w:t>本专业教学和实验实训条件能够满足学生的需求。</w:t>
      </w:r>
    </w:p>
    <w:p>
      <w:pPr>
        <w:pStyle w:val="2"/>
        <w:pageBreakBefore w:val="0"/>
        <w:kinsoku/>
        <w:wordWrap/>
        <w:overflowPunct/>
        <w:topLinePunct w:val="0"/>
        <w:autoSpaceDE/>
        <w:autoSpaceDN/>
        <w:bidi w:val="0"/>
        <w:adjustRightInd/>
        <w:snapToGrid/>
        <w:spacing w:line="500" w:lineRule="exact"/>
        <w:ind w:firstLine="480"/>
        <w:textAlignment w:val="auto"/>
        <w:rPr>
          <w:rFonts w:hint="eastAsia" w:ascii="仿宋_GB2312" w:hAnsi="仿宋_GB2312" w:eastAsia="仿宋_GB2312" w:cs="仿宋_GB2312"/>
          <w:b/>
          <w:bCs/>
          <w:color w:val="000000"/>
          <w:kern w:val="0"/>
          <w:sz w:val="24"/>
          <w:szCs w:val="24"/>
          <w:highlight w:val="none"/>
          <w:u w:val="none"/>
          <w:lang w:bidi="ar"/>
        </w:rPr>
      </w:pPr>
      <w:r>
        <w:rPr>
          <w:rFonts w:hint="eastAsia" w:ascii="仿宋_GB2312" w:hAnsi="仿宋_GB2312" w:eastAsia="仿宋_GB2312" w:cs="仿宋_GB2312"/>
          <w:b/>
          <w:bCs/>
          <w:color w:val="000000"/>
          <w:kern w:val="0"/>
          <w:sz w:val="24"/>
          <w:szCs w:val="24"/>
          <w:highlight w:val="none"/>
          <w:u w:val="none"/>
          <w:lang w:bidi="ar"/>
        </w:rPr>
        <w:t>1.校内实训基地</w:t>
      </w:r>
    </w:p>
    <w:p>
      <w:pPr>
        <w:pStyle w:val="2"/>
        <w:pageBreakBefore w:val="0"/>
        <w:kinsoku/>
        <w:wordWrap/>
        <w:overflowPunct/>
        <w:topLinePunct w:val="0"/>
        <w:autoSpaceDE/>
        <w:autoSpaceDN/>
        <w:bidi w:val="0"/>
        <w:adjustRightInd/>
        <w:snapToGrid/>
        <w:spacing w:line="500" w:lineRule="exact"/>
        <w:ind w:firstLine="480"/>
        <w:textAlignment w:val="auto"/>
        <w:rPr>
          <w:rFonts w:hint="eastAsia" w:ascii="仿宋_GB2312" w:hAnsi="仿宋_GB2312" w:eastAsia="仿宋_GB2312" w:cs="仿宋_GB2312"/>
          <w:color w:val="000000"/>
          <w:kern w:val="0"/>
          <w:sz w:val="24"/>
          <w:szCs w:val="24"/>
          <w:highlight w:val="none"/>
          <w:u w:val="none"/>
          <w:lang w:bidi="ar"/>
        </w:rPr>
      </w:pPr>
      <w:r>
        <w:rPr>
          <w:rFonts w:hint="eastAsia" w:ascii="仿宋_GB2312" w:hAnsi="仿宋_GB2312" w:eastAsia="仿宋_GB2312" w:cs="仿宋_GB2312"/>
          <w:sz w:val="24"/>
          <w:szCs w:val="24"/>
          <w:lang w:val="zh-TW" w:eastAsia="zh-TW"/>
        </w:rPr>
        <w:t xml:space="preserve">学校投入六百余万元建成 </w:t>
      </w:r>
      <w:r>
        <w:rPr>
          <w:rFonts w:hint="eastAsia" w:ascii="仿宋_GB2312" w:hAnsi="仿宋_GB2312" w:eastAsia="仿宋_GB2312" w:cs="仿宋_GB2312"/>
          <w:sz w:val="24"/>
          <w:szCs w:val="24"/>
          <w:lang w:val="en-US"/>
        </w:rPr>
        <w:t>“</w:t>
      </w:r>
      <w:r>
        <w:rPr>
          <w:rFonts w:hint="eastAsia" w:ascii="仿宋_GB2312" w:hAnsi="仿宋_GB2312" w:eastAsia="仿宋_GB2312" w:cs="仿宋_GB2312"/>
          <w:sz w:val="24"/>
          <w:szCs w:val="24"/>
          <w:lang w:val="zh-TW" w:eastAsia="zh-TW"/>
        </w:rPr>
        <w:t>华商学院大传播实验教学平台</w:t>
      </w:r>
      <w:r>
        <w:rPr>
          <w:rFonts w:hint="eastAsia" w:ascii="仿宋_GB2312" w:hAnsi="仿宋_GB2312" w:eastAsia="仿宋_GB2312" w:cs="仿宋_GB2312"/>
          <w:sz w:val="24"/>
          <w:szCs w:val="24"/>
          <w:lang w:val="en-US"/>
        </w:rPr>
        <w:t>”</w:t>
      </w:r>
      <w:r>
        <w:rPr>
          <w:rFonts w:hint="eastAsia" w:ascii="仿宋_GB2312" w:hAnsi="仿宋_GB2312" w:eastAsia="仿宋_GB2312" w:cs="仿宋_GB2312"/>
          <w:sz w:val="24"/>
          <w:szCs w:val="24"/>
          <w:lang w:val="zh-TW" w:eastAsia="zh-TW"/>
        </w:rPr>
        <w:t>，已获批为</w:t>
      </w:r>
      <w:r>
        <w:rPr>
          <w:rFonts w:hint="eastAsia" w:ascii="仿宋_GB2312" w:hAnsi="仿宋_GB2312" w:eastAsia="仿宋_GB2312" w:cs="仿宋_GB2312"/>
          <w:sz w:val="24"/>
          <w:szCs w:val="24"/>
          <w:lang w:val="en-US"/>
        </w:rPr>
        <w:t>“</w:t>
      </w:r>
      <w:r>
        <w:rPr>
          <w:rFonts w:hint="eastAsia" w:ascii="仿宋_GB2312" w:hAnsi="仿宋_GB2312" w:eastAsia="仿宋_GB2312" w:cs="仿宋_GB2312"/>
          <w:sz w:val="24"/>
          <w:szCs w:val="24"/>
          <w:lang w:val="zh-TW" w:eastAsia="zh-TW"/>
        </w:rPr>
        <w:t>广东省实验教学示范中心建设项目</w:t>
      </w:r>
      <w:r>
        <w:rPr>
          <w:rFonts w:hint="eastAsia" w:ascii="仿宋_GB2312" w:hAnsi="仿宋_GB2312" w:eastAsia="仿宋_GB2312" w:cs="仿宋_GB2312"/>
          <w:sz w:val="24"/>
          <w:szCs w:val="24"/>
          <w:lang w:val="en-US"/>
        </w:rPr>
        <w:t>”</w:t>
      </w:r>
      <w:r>
        <w:rPr>
          <w:rFonts w:hint="eastAsia" w:ascii="仿宋_GB2312" w:hAnsi="仿宋_GB2312" w:eastAsia="仿宋_GB2312" w:cs="仿宋_GB2312"/>
          <w:sz w:val="24"/>
          <w:szCs w:val="24"/>
          <w:lang w:val="zh-TW" w:eastAsia="zh-TW"/>
        </w:rPr>
        <w:t>，为学校</w:t>
      </w:r>
      <w:r>
        <w:rPr>
          <w:rFonts w:hint="eastAsia" w:ascii="仿宋_GB2312" w:hAnsi="仿宋_GB2312" w:eastAsia="仿宋_GB2312" w:cs="仿宋_GB2312"/>
          <w:sz w:val="24"/>
          <w:szCs w:val="24"/>
          <w:lang w:val="en-US"/>
        </w:rPr>
        <w:t>“</w:t>
      </w:r>
      <w:r>
        <w:rPr>
          <w:rFonts w:hint="eastAsia" w:ascii="仿宋_GB2312" w:hAnsi="仿宋_GB2312" w:eastAsia="仿宋_GB2312" w:cs="仿宋_GB2312"/>
          <w:sz w:val="24"/>
          <w:szCs w:val="24"/>
          <w:lang w:val="zh-TW" w:eastAsia="zh-TW"/>
        </w:rPr>
        <w:t>三新</w:t>
      </w:r>
      <w:r>
        <w:rPr>
          <w:rFonts w:hint="eastAsia" w:ascii="仿宋_GB2312" w:hAnsi="仿宋_GB2312" w:eastAsia="仿宋_GB2312" w:cs="仿宋_GB2312"/>
          <w:sz w:val="24"/>
          <w:szCs w:val="24"/>
          <w:lang w:val="en-US"/>
        </w:rPr>
        <w:t>”</w:t>
      </w:r>
      <w:r>
        <w:rPr>
          <w:rFonts w:hint="eastAsia" w:ascii="仿宋_GB2312" w:hAnsi="仿宋_GB2312" w:eastAsia="仿宋_GB2312" w:cs="仿宋_GB2312"/>
          <w:sz w:val="24"/>
          <w:szCs w:val="24"/>
          <w:lang w:val="zh-TW" w:eastAsia="zh-TW"/>
        </w:rPr>
        <w:t>应用型人才培养提供了强大的硬件支撑。大传播实验教学平台是基于大传播专业的现代化综合实验教学平台，为新闻传播学各专业提供先进的实验教学环境，构建校内新闻传播学专业从资源拍摄到节目制作再到信息发布与管理的系统化教学体系，打造新闻传播学全媒体复合应用型人才的培养基地。大传播实验教学平台包括：新闻演播综合实验室、录音实验室、摄影实验室、网络资源制作和新媒体研究实验室</w:t>
      </w:r>
      <w:r>
        <w:rPr>
          <w:rFonts w:hint="eastAsia" w:ascii="仿宋_GB2312" w:hAnsi="仿宋_GB2312" w:eastAsia="仿宋_GB2312" w:cs="仿宋_GB2312"/>
          <w:kern w:val="0"/>
          <w:sz w:val="24"/>
          <w:szCs w:val="24"/>
          <w:lang w:val="zh-TW" w:eastAsia="zh-TW"/>
        </w:rPr>
        <w:t>。</w:t>
      </w:r>
    </w:p>
    <w:p>
      <w:pPr>
        <w:pStyle w:val="2"/>
        <w:pageBreakBefore w:val="0"/>
        <w:kinsoku/>
        <w:wordWrap/>
        <w:overflowPunct/>
        <w:topLinePunct w:val="0"/>
        <w:autoSpaceDE/>
        <w:autoSpaceDN/>
        <w:bidi w:val="0"/>
        <w:adjustRightInd/>
        <w:snapToGrid/>
        <w:spacing w:line="500" w:lineRule="exact"/>
        <w:ind w:firstLine="480"/>
        <w:textAlignment w:val="auto"/>
        <w:rPr>
          <w:rFonts w:hint="eastAsia" w:ascii="仿宋_GB2312" w:hAnsi="仿宋_GB2312" w:eastAsia="仿宋_GB2312" w:cs="仿宋_GB2312"/>
          <w:b/>
          <w:bCs/>
          <w:color w:val="000000"/>
          <w:kern w:val="0"/>
          <w:sz w:val="24"/>
          <w:szCs w:val="24"/>
          <w:highlight w:val="none"/>
          <w:u w:val="none"/>
          <w:lang w:bidi="ar"/>
        </w:rPr>
      </w:pPr>
      <w:r>
        <w:rPr>
          <w:rFonts w:hint="eastAsia" w:ascii="仿宋_GB2312" w:hAnsi="仿宋_GB2312" w:eastAsia="仿宋_GB2312" w:cs="仿宋_GB2312"/>
          <w:b/>
          <w:bCs/>
          <w:color w:val="000000"/>
          <w:kern w:val="0"/>
          <w:sz w:val="24"/>
          <w:szCs w:val="24"/>
          <w:highlight w:val="none"/>
          <w:u w:val="none"/>
          <w:lang w:bidi="ar"/>
        </w:rPr>
        <w:t>2.校外实习基地</w:t>
      </w:r>
    </w:p>
    <w:p>
      <w:pPr>
        <w:pStyle w:val="2"/>
        <w:pageBreakBefore w:val="0"/>
        <w:kinsoku/>
        <w:wordWrap/>
        <w:overflowPunct/>
        <w:topLinePunct w:val="0"/>
        <w:autoSpaceDE/>
        <w:autoSpaceDN/>
        <w:bidi w:val="0"/>
        <w:adjustRightInd/>
        <w:snapToGrid/>
        <w:spacing w:line="500" w:lineRule="exact"/>
        <w:ind w:firstLine="480"/>
        <w:textAlignment w:val="auto"/>
        <w:rPr>
          <w:rFonts w:hint="eastAsia" w:ascii="仿宋_GB2312" w:hAnsi="仿宋_GB2312" w:eastAsia="仿宋_GB2312" w:cs="仿宋_GB2312"/>
          <w:kern w:val="2"/>
          <w:sz w:val="24"/>
          <w:szCs w:val="24"/>
          <w:highlight w:val="none"/>
          <w:u w:val="none"/>
        </w:rPr>
      </w:pPr>
      <w:r>
        <w:rPr>
          <w:rFonts w:hint="eastAsia" w:ascii="仿宋_GB2312" w:hAnsi="仿宋_GB2312" w:eastAsia="仿宋_GB2312" w:cs="仿宋_GB2312"/>
          <w:sz w:val="24"/>
          <w:szCs w:val="24"/>
          <w:lang w:val="zh-TW" w:eastAsia="zh-TW"/>
        </w:rPr>
        <w:t>全面加强实验和实践教学，与省内</w:t>
      </w:r>
      <w:r>
        <w:rPr>
          <w:rFonts w:hint="eastAsia" w:ascii="仿宋_GB2312" w:hAnsi="仿宋_GB2312" w:eastAsia="仿宋_GB2312" w:cs="仿宋_GB2312"/>
          <w:sz w:val="24"/>
          <w:szCs w:val="24"/>
          <w:lang w:val="en-US"/>
        </w:rPr>
        <w:t>20</w:t>
      </w:r>
      <w:r>
        <w:rPr>
          <w:rFonts w:hint="eastAsia" w:ascii="仿宋_GB2312" w:hAnsi="仿宋_GB2312" w:eastAsia="仿宋_GB2312" w:cs="仿宋_GB2312"/>
          <w:sz w:val="24"/>
          <w:szCs w:val="24"/>
          <w:lang w:val="zh-TW" w:eastAsia="zh-TW"/>
        </w:rPr>
        <w:t>余家企业机构共建共育新闻传播人才。现有省级大学生实践教学基地一个（广东财经大学华商传播与传媒学院</w:t>
      </w:r>
      <w:r>
        <w:rPr>
          <w:rFonts w:hint="eastAsia" w:ascii="仿宋_GB2312" w:hAnsi="仿宋_GB2312" w:eastAsia="仿宋_GB2312" w:cs="仿宋_GB2312"/>
          <w:sz w:val="24"/>
          <w:szCs w:val="24"/>
          <w:lang w:val="en-US"/>
        </w:rPr>
        <w:t>——</w:t>
      </w:r>
      <w:r>
        <w:rPr>
          <w:rFonts w:hint="eastAsia" w:ascii="仿宋_GB2312" w:hAnsi="仿宋_GB2312" w:eastAsia="仿宋_GB2312" w:cs="仿宋_GB2312"/>
          <w:sz w:val="24"/>
          <w:szCs w:val="24"/>
          <w:lang w:val="zh-TW" w:eastAsia="zh-TW"/>
        </w:rPr>
        <w:t>广东清博大数据科技有限公司大学生实践教学基地为省</w:t>
      </w:r>
      <w:r>
        <w:rPr>
          <w:rFonts w:hint="eastAsia" w:ascii="仿宋_GB2312" w:hAnsi="仿宋_GB2312" w:eastAsia="仿宋_GB2312" w:cs="仿宋_GB2312"/>
          <w:sz w:val="24"/>
          <w:szCs w:val="24"/>
          <w:lang w:val="en-US"/>
        </w:rPr>
        <w:t>“</w:t>
      </w:r>
      <w:r>
        <w:rPr>
          <w:rFonts w:hint="eastAsia" w:ascii="仿宋_GB2312" w:hAnsi="仿宋_GB2312" w:eastAsia="仿宋_GB2312" w:cs="仿宋_GB2312"/>
          <w:sz w:val="24"/>
          <w:szCs w:val="24"/>
          <w:lang w:val="zh-TW" w:eastAsia="zh-TW"/>
        </w:rPr>
        <w:t>质量工程</w:t>
      </w:r>
      <w:r>
        <w:rPr>
          <w:rFonts w:hint="eastAsia" w:ascii="仿宋_GB2312" w:hAnsi="仿宋_GB2312" w:eastAsia="仿宋_GB2312" w:cs="仿宋_GB2312"/>
          <w:sz w:val="24"/>
          <w:szCs w:val="24"/>
          <w:lang w:val="en-US"/>
        </w:rPr>
        <w:t>”</w:t>
      </w:r>
      <w:r>
        <w:rPr>
          <w:rFonts w:hint="eastAsia" w:ascii="仿宋_GB2312" w:hAnsi="仿宋_GB2312" w:eastAsia="仿宋_GB2312" w:cs="仿宋_GB2312"/>
          <w:sz w:val="24"/>
          <w:szCs w:val="24"/>
          <w:lang w:val="zh-TW" w:eastAsia="zh-TW"/>
        </w:rPr>
        <w:t>大学生实践教学基地），省级科产教融合实践教学基地一个（智媒文创科产教融合实践教学基地），校级大学生实践教学基地一个（传播与传媒学院</w:t>
      </w:r>
      <w:r>
        <w:rPr>
          <w:rFonts w:hint="eastAsia" w:ascii="仿宋_GB2312" w:hAnsi="仿宋_GB2312" w:eastAsia="仿宋_GB2312" w:cs="仿宋_GB2312"/>
          <w:sz w:val="24"/>
          <w:szCs w:val="24"/>
          <w:lang w:val="en-US"/>
        </w:rPr>
        <w:t>——</w:t>
      </w:r>
      <w:r>
        <w:rPr>
          <w:rFonts w:hint="eastAsia" w:ascii="仿宋_GB2312" w:hAnsi="仿宋_GB2312" w:eastAsia="仿宋_GB2312" w:cs="仿宋_GB2312"/>
          <w:sz w:val="24"/>
          <w:szCs w:val="24"/>
          <w:lang w:val="zh-TW" w:eastAsia="zh-TW"/>
        </w:rPr>
        <w:t>广东广播电视台大学生教学实践基地为校级大学生实践教学基地）</w:t>
      </w:r>
      <w:r>
        <w:rPr>
          <w:rFonts w:hint="eastAsia" w:ascii="仿宋_GB2312" w:hAnsi="仿宋_GB2312" w:eastAsia="仿宋_GB2312" w:cs="仿宋_GB2312"/>
          <w:kern w:val="0"/>
          <w:sz w:val="24"/>
          <w:szCs w:val="24"/>
          <w:lang w:val="zh-TW" w:eastAsia="zh-TW"/>
        </w:rPr>
        <w:t>。</w:t>
      </w:r>
    </w:p>
    <w:p>
      <w:pPr>
        <w:pStyle w:val="3"/>
        <w:keepNext/>
        <w:keepLines/>
        <w:pageBreakBefore w:val="0"/>
        <w:widowControl w:val="0"/>
        <w:numPr>
          <w:ilvl w:val="0"/>
          <w:numId w:val="4"/>
        </w:numPr>
        <w:kinsoku/>
        <w:wordWrap/>
        <w:overflowPunct/>
        <w:topLinePunct w:val="0"/>
        <w:autoSpaceDE/>
        <w:autoSpaceDN/>
        <w:bidi w:val="0"/>
        <w:adjustRightInd/>
        <w:snapToGrid/>
        <w:spacing w:before="0" w:after="0" w:line="500" w:lineRule="exact"/>
        <w:ind w:left="0" w:leftChars="0" w:firstLine="482" w:firstLineChars="20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现有教学资源（含数字化资源）</w:t>
      </w:r>
    </w:p>
    <w:p>
      <w:pPr>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kern w:val="0"/>
          <w:sz w:val="24"/>
          <w:szCs w:val="24"/>
          <w:highlight w:val="none"/>
          <w:u w:val="none"/>
          <w:lang w:bidi="ar"/>
        </w:rPr>
      </w:pPr>
      <w:r>
        <w:rPr>
          <w:rFonts w:hint="eastAsia" w:ascii="仿宋_GB2312" w:hAnsi="仿宋_GB2312" w:eastAsia="仿宋_GB2312" w:cs="仿宋_GB2312"/>
          <w:sz w:val="24"/>
          <w:szCs w:val="24"/>
          <w:lang w:val="zh-TW" w:eastAsia="zh-TW"/>
        </w:rPr>
        <w:t>学校建有馆舍面积</w:t>
      </w:r>
      <w:r>
        <w:rPr>
          <w:rFonts w:hint="eastAsia" w:ascii="仿宋_GB2312" w:hAnsi="仿宋_GB2312" w:eastAsia="仿宋_GB2312" w:cs="仿宋_GB2312"/>
          <w:sz w:val="24"/>
          <w:szCs w:val="24"/>
          <w:lang w:val="en-US"/>
        </w:rPr>
        <w:t>2.907</w:t>
      </w:r>
      <w:r>
        <w:rPr>
          <w:rFonts w:hint="eastAsia" w:ascii="仿宋_GB2312" w:hAnsi="仿宋_GB2312" w:eastAsia="仿宋_GB2312" w:cs="仿宋_GB2312"/>
          <w:sz w:val="24"/>
          <w:szCs w:val="24"/>
          <w:lang w:val="zh-TW" w:eastAsia="zh-TW"/>
        </w:rPr>
        <w:t>万平方米的图书馆，藏有纸质图书</w:t>
      </w:r>
      <w:r>
        <w:rPr>
          <w:rFonts w:hint="eastAsia" w:ascii="仿宋_GB2312" w:hAnsi="仿宋_GB2312" w:eastAsia="仿宋_GB2312" w:cs="仿宋_GB2312"/>
          <w:sz w:val="24"/>
          <w:szCs w:val="24"/>
          <w:lang w:val="en-US"/>
        </w:rPr>
        <w:t>258</w:t>
      </w:r>
      <w:r>
        <w:rPr>
          <w:rFonts w:hint="eastAsia" w:ascii="仿宋_GB2312" w:hAnsi="仿宋_GB2312" w:eastAsia="仿宋_GB2312" w:cs="仿宋_GB2312"/>
          <w:sz w:val="24"/>
          <w:szCs w:val="24"/>
          <w:lang w:val="zh-TW" w:eastAsia="zh-TW"/>
        </w:rPr>
        <w:t>万册，其中中文图</w:t>
      </w:r>
      <w:r>
        <w:rPr>
          <w:rFonts w:hint="eastAsia" w:ascii="仿宋_GB2312" w:hAnsi="仿宋_GB2312" w:eastAsia="仿宋_GB2312" w:cs="仿宋_GB2312"/>
          <w:sz w:val="24"/>
          <w:szCs w:val="24"/>
          <w:lang w:val="en-US"/>
        </w:rPr>
        <w:t>247.2660</w:t>
      </w:r>
      <w:r>
        <w:rPr>
          <w:rFonts w:hint="eastAsia" w:ascii="仿宋_GB2312" w:hAnsi="仿宋_GB2312" w:eastAsia="仿宋_GB2312" w:cs="仿宋_GB2312"/>
          <w:sz w:val="24"/>
          <w:szCs w:val="24"/>
          <w:lang w:val="zh-TW" w:eastAsia="zh-TW"/>
        </w:rPr>
        <w:t>万册、外文图书</w:t>
      </w:r>
      <w:r>
        <w:rPr>
          <w:rFonts w:hint="eastAsia" w:ascii="仿宋_GB2312" w:hAnsi="仿宋_GB2312" w:eastAsia="仿宋_GB2312" w:cs="仿宋_GB2312"/>
          <w:sz w:val="24"/>
          <w:szCs w:val="24"/>
          <w:lang w:val="en-US"/>
        </w:rPr>
        <w:t>4.5801</w:t>
      </w:r>
      <w:r>
        <w:rPr>
          <w:rFonts w:hint="eastAsia" w:ascii="仿宋_GB2312" w:hAnsi="仿宋_GB2312" w:eastAsia="仿宋_GB2312" w:cs="仿宋_GB2312"/>
          <w:sz w:val="24"/>
          <w:szCs w:val="24"/>
          <w:lang w:val="zh-TW" w:eastAsia="zh-TW"/>
        </w:rPr>
        <w:t>万册、期刊合订本</w:t>
      </w:r>
      <w:r>
        <w:rPr>
          <w:rFonts w:hint="eastAsia" w:ascii="仿宋_GB2312" w:hAnsi="仿宋_GB2312" w:eastAsia="仿宋_GB2312" w:cs="仿宋_GB2312"/>
          <w:sz w:val="24"/>
          <w:szCs w:val="24"/>
          <w:lang w:val="en-US"/>
        </w:rPr>
        <w:t>2.2878</w:t>
      </w:r>
      <w:r>
        <w:rPr>
          <w:rFonts w:hint="eastAsia" w:ascii="仿宋_GB2312" w:hAnsi="仿宋_GB2312" w:eastAsia="仿宋_GB2312" w:cs="仿宋_GB2312"/>
          <w:sz w:val="24"/>
          <w:szCs w:val="24"/>
          <w:lang w:val="zh-TW" w:eastAsia="zh-TW"/>
        </w:rPr>
        <w:t>万册。图书馆订有现刊</w:t>
      </w:r>
      <w:r>
        <w:rPr>
          <w:rFonts w:hint="eastAsia" w:ascii="仿宋_GB2312" w:hAnsi="仿宋_GB2312" w:eastAsia="仿宋_GB2312" w:cs="仿宋_GB2312"/>
          <w:sz w:val="24"/>
          <w:szCs w:val="24"/>
          <w:lang w:val="en-US"/>
        </w:rPr>
        <w:t>830</w:t>
      </w:r>
      <w:r>
        <w:rPr>
          <w:rFonts w:hint="eastAsia" w:ascii="仿宋_GB2312" w:hAnsi="仿宋_GB2312" w:eastAsia="仿宋_GB2312" w:cs="仿宋_GB2312"/>
          <w:sz w:val="24"/>
          <w:szCs w:val="24"/>
          <w:lang w:val="zh-TW" w:eastAsia="zh-TW"/>
        </w:rPr>
        <w:t>种，其中期刊</w:t>
      </w:r>
      <w:r>
        <w:rPr>
          <w:rFonts w:hint="eastAsia" w:ascii="仿宋_GB2312" w:hAnsi="仿宋_GB2312" w:eastAsia="仿宋_GB2312" w:cs="仿宋_GB2312"/>
          <w:sz w:val="24"/>
          <w:szCs w:val="24"/>
          <w:lang w:val="en-US"/>
        </w:rPr>
        <w:t>759</w:t>
      </w:r>
      <w:r>
        <w:rPr>
          <w:rFonts w:hint="eastAsia" w:ascii="仿宋_GB2312" w:hAnsi="仿宋_GB2312" w:eastAsia="仿宋_GB2312" w:cs="仿宋_GB2312"/>
          <w:sz w:val="24"/>
          <w:szCs w:val="24"/>
          <w:lang w:val="zh-TW" w:eastAsia="zh-TW"/>
        </w:rPr>
        <w:t>种（含外文期刊</w:t>
      </w:r>
      <w:r>
        <w:rPr>
          <w:rFonts w:hint="eastAsia" w:ascii="仿宋_GB2312" w:hAnsi="仿宋_GB2312" w:eastAsia="仿宋_GB2312" w:cs="仿宋_GB2312"/>
          <w:sz w:val="24"/>
          <w:szCs w:val="24"/>
          <w:lang w:val="en-US"/>
        </w:rPr>
        <w:t>24</w:t>
      </w:r>
      <w:r>
        <w:rPr>
          <w:rFonts w:hint="eastAsia" w:ascii="仿宋_GB2312" w:hAnsi="仿宋_GB2312" w:eastAsia="仿宋_GB2312" w:cs="仿宋_GB2312"/>
          <w:sz w:val="24"/>
          <w:szCs w:val="24"/>
          <w:lang w:val="zh-TW" w:eastAsia="zh-TW"/>
        </w:rPr>
        <w:t>种）；报纸</w:t>
      </w:r>
      <w:r>
        <w:rPr>
          <w:rFonts w:hint="eastAsia" w:ascii="仿宋_GB2312" w:hAnsi="仿宋_GB2312" w:eastAsia="仿宋_GB2312" w:cs="仿宋_GB2312"/>
          <w:sz w:val="24"/>
          <w:szCs w:val="24"/>
          <w:lang w:val="en-US"/>
        </w:rPr>
        <w:t>71</w:t>
      </w:r>
      <w:r>
        <w:rPr>
          <w:rFonts w:hint="eastAsia" w:ascii="仿宋_GB2312" w:hAnsi="仿宋_GB2312" w:eastAsia="仿宋_GB2312" w:cs="仿宋_GB2312"/>
          <w:sz w:val="24"/>
          <w:szCs w:val="24"/>
          <w:lang w:val="zh-TW" w:eastAsia="zh-TW"/>
        </w:rPr>
        <w:t>种（含外文报纸</w:t>
      </w:r>
      <w:r>
        <w:rPr>
          <w:rFonts w:hint="eastAsia" w:ascii="仿宋_GB2312" w:hAnsi="仿宋_GB2312" w:eastAsia="仿宋_GB2312" w:cs="仿宋_GB2312"/>
          <w:sz w:val="24"/>
          <w:szCs w:val="24"/>
          <w:lang w:val="en-US"/>
        </w:rPr>
        <w:t>3</w:t>
      </w:r>
      <w:r>
        <w:rPr>
          <w:rFonts w:hint="eastAsia" w:ascii="仿宋_GB2312" w:hAnsi="仿宋_GB2312" w:eastAsia="仿宋_GB2312" w:cs="仿宋_GB2312"/>
          <w:sz w:val="24"/>
          <w:szCs w:val="24"/>
          <w:lang w:val="zh-TW" w:eastAsia="zh-TW"/>
        </w:rPr>
        <w:t>种）。购买超星数字图书馆电子图书</w:t>
      </w:r>
      <w:r>
        <w:rPr>
          <w:rFonts w:hint="eastAsia" w:ascii="仿宋_GB2312" w:hAnsi="仿宋_GB2312" w:eastAsia="仿宋_GB2312" w:cs="仿宋_GB2312"/>
          <w:sz w:val="24"/>
          <w:szCs w:val="24"/>
          <w:lang w:val="en-US"/>
        </w:rPr>
        <w:t>31</w:t>
      </w:r>
      <w:r>
        <w:rPr>
          <w:rFonts w:hint="eastAsia" w:ascii="仿宋_GB2312" w:hAnsi="仿宋_GB2312" w:eastAsia="仿宋_GB2312" w:cs="仿宋_GB2312"/>
          <w:sz w:val="24"/>
          <w:szCs w:val="24"/>
          <w:lang w:val="zh-TW" w:eastAsia="zh-TW"/>
        </w:rPr>
        <w:t>万种，清华同方中国知网（</w:t>
      </w:r>
      <w:r>
        <w:rPr>
          <w:rFonts w:hint="eastAsia" w:ascii="仿宋_GB2312" w:hAnsi="仿宋_GB2312" w:eastAsia="仿宋_GB2312" w:cs="仿宋_GB2312"/>
          <w:sz w:val="24"/>
          <w:szCs w:val="24"/>
          <w:lang w:val="en-US"/>
        </w:rPr>
        <w:t>CNKI</w:t>
      </w:r>
      <w:r>
        <w:rPr>
          <w:rFonts w:hint="eastAsia" w:ascii="仿宋_GB2312" w:hAnsi="仿宋_GB2312" w:eastAsia="仿宋_GB2312" w:cs="仿宋_GB2312"/>
          <w:sz w:val="24"/>
          <w:szCs w:val="24"/>
          <w:lang w:val="zh-TW" w:eastAsia="zh-TW"/>
        </w:rPr>
        <w:t>）七个专辑和中国财经教育资源共享平台。清华同方中国知网（</w:t>
      </w:r>
      <w:r>
        <w:rPr>
          <w:rFonts w:hint="eastAsia" w:ascii="仿宋_GB2312" w:hAnsi="仿宋_GB2312" w:eastAsia="仿宋_GB2312" w:cs="仿宋_GB2312"/>
          <w:sz w:val="24"/>
          <w:szCs w:val="24"/>
          <w:lang w:val="en-US"/>
        </w:rPr>
        <w:t>CNKI</w:t>
      </w:r>
      <w:r>
        <w:rPr>
          <w:rFonts w:hint="eastAsia" w:ascii="仿宋_GB2312" w:hAnsi="仿宋_GB2312" w:eastAsia="仿宋_GB2312" w:cs="仿宋_GB2312"/>
          <w:sz w:val="24"/>
          <w:szCs w:val="24"/>
          <w:lang w:val="zh-TW" w:eastAsia="zh-TW"/>
        </w:rPr>
        <w:t>）七个专辑其中包含中国学术期刊论文、重要会议论文、博、硕士论文、重要报纸全文等约</w:t>
      </w:r>
      <w:r>
        <w:rPr>
          <w:rFonts w:hint="eastAsia" w:ascii="仿宋_GB2312" w:hAnsi="仿宋_GB2312" w:eastAsia="仿宋_GB2312" w:cs="仿宋_GB2312"/>
          <w:sz w:val="24"/>
          <w:szCs w:val="24"/>
          <w:lang w:val="en-US"/>
        </w:rPr>
        <w:t>5700</w:t>
      </w:r>
      <w:r>
        <w:rPr>
          <w:rFonts w:hint="eastAsia" w:ascii="仿宋_GB2312" w:hAnsi="仿宋_GB2312" w:eastAsia="仿宋_GB2312" w:cs="仿宋_GB2312"/>
          <w:sz w:val="24"/>
          <w:szCs w:val="24"/>
          <w:lang w:val="zh-TW" w:eastAsia="zh-TW"/>
        </w:rPr>
        <w:t>多万篇。学校建有校园网，可满足学生对网上文献资源的需求。</w:t>
      </w:r>
    </w:p>
    <w:p>
      <w:pPr>
        <w:pStyle w:val="3"/>
        <w:keepNext/>
        <w:keepLines/>
        <w:pageBreakBefore w:val="0"/>
        <w:widowControl w:val="0"/>
        <w:numPr>
          <w:ilvl w:val="0"/>
          <w:numId w:val="4"/>
        </w:numPr>
        <w:kinsoku/>
        <w:wordWrap/>
        <w:overflowPunct/>
        <w:topLinePunct w:val="0"/>
        <w:autoSpaceDE/>
        <w:autoSpaceDN/>
        <w:bidi w:val="0"/>
        <w:adjustRightInd/>
        <w:snapToGrid/>
        <w:spacing w:before="0" w:after="0" w:line="500" w:lineRule="exact"/>
        <w:ind w:left="0" w:leftChars="0" w:firstLine="482" w:firstLineChars="20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质量管理</w:t>
      </w:r>
    </w:p>
    <w:p>
      <w:pPr>
        <w:pageBreakBefore w:val="0"/>
        <w:kinsoku/>
        <w:wordWrap/>
        <w:overflowPunct/>
        <w:topLinePunct w:val="0"/>
        <w:autoSpaceDE/>
        <w:autoSpaceDN/>
        <w:bidi w:val="0"/>
        <w:adjustRightInd/>
        <w:snapToGrid/>
        <w:spacing w:line="500" w:lineRule="exact"/>
        <w:ind w:firstLine="480"/>
        <w:jc w:val="left"/>
        <w:textAlignment w:val="auto"/>
        <w:rPr>
          <w:rFonts w:hint="eastAsia" w:ascii="仿宋_GB2312" w:hAnsi="仿宋_GB2312" w:eastAsia="仿宋_GB2312" w:cs="仿宋_GB2312"/>
          <w:color w:val="000000"/>
          <w:sz w:val="24"/>
          <w:szCs w:val="24"/>
          <w:u w:val="none" w:color="000000"/>
          <w:lang w:val="zh-TW" w:eastAsia="zh-TW"/>
        </w:rPr>
      </w:pPr>
      <w:r>
        <w:rPr>
          <w:rFonts w:hint="eastAsia" w:ascii="仿宋_GB2312" w:hAnsi="仿宋_GB2312" w:eastAsia="仿宋_GB2312" w:cs="仿宋_GB2312"/>
          <w:color w:val="000000"/>
          <w:sz w:val="24"/>
          <w:szCs w:val="24"/>
          <w:u w:val="none" w:color="000000"/>
          <w:lang w:val="zh-TW" w:eastAsia="zh-TW"/>
        </w:rPr>
        <w:t>本专业依据国家专业教学标准，明确教学管理和教学质量诊断与改进制度机制等任务。本专业以产出为导向制定人才培养方案。坚持以学生为本的原则，严格按照人才培养方案开展各项教育教学工作。有效、合理、严格地推进课程实施、教材甄选、教研教改和质量监控等。</w:t>
      </w:r>
    </w:p>
    <w:p>
      <w:pPr>
        <w:pageBreakBefore w:val="0"/>
        <w:kinsoku/>
        <w:wordWrap/>
        <w:overflowPunct/>
        <w:topLinePunct w:val="0"/>
        <w:autoSpaceDE/>
        <w:autoSpaceDN/>
        <w:bidi w:val="0"/>
        <w:adjustRightInd/>
        <w:snapToGrid/>
        <w:spacing w:line="500" w:lineRule="exact"/>
        <w:ind w:firstLine="480"/>
        <w:jc w:val="left"/>
        <w:textAlignment w:val="auto"/>
        <w:rPr>
          <w:rFonts w:hint="eastAsia" w:ascii="仿宋_GB2312" w:hAnsi="仿宋_GB2312" w:eastAsia="仿宋_GB2312" w:cs="仿宋_GB2312"/>
          <w:color w:val="000000"/>
          <w:sz w:val="24"/>
          <w:szCs w:val="24"/>
          <w:u w:val="none" w:color="000000"/>
          <w:lang w:val="zh-TW" w:eastAsia="zh-TW"/>
        </w:rPr>
      </w:pPr>
      <w:r>
        <w:rPr>
          <w:rFonts w:hint="eastAsia" w:ascii="仿宋_GB2312" w:hAnsi="仿宋_GB2312" w:eastAsia="仿宋_GB2312" w:cs="仿宋_GB2312"/>
          <w:color w:val="000000"/>
          <w:sz w:val="24"/>
          <w:szCs w:val="24"/>
          <w:u w:val="none" w:color="000000"/>
          <w:lang w:val="zh-TW" w:eastAsia="zh-TW"/>
        </w:rPr>
        <w:t>第一，有效实施课程。根据学生特点和学科知识结构，有条不紊地按照人才培养方案开展各门公共课程、专业课与实践课程。</w:t>
      </w:r>
    </w:p>
    <w:p>
      <w:pPr>
        <w:pageBreakBefore w:val="0"/>
        <w:kinsoku/>
        <w:wordWrap/>
        <w:overflowPunct/>
        <w:topLinePunct w:val="0"/>
        <w:autoSpaceDE/>
        <w:autoSpaceDN/>
        <w:bidi w:val="0"/>
        <w:adjustRightInd/>
        <w:snapToGrid/>
        <w:spacing w:line="500" w:lineRule="exact"/>
        <w:ind w:firstLine="480"/>
        <w:jc w:val="left"/>
        <w:textAlignment w:val="auto"/>
        <w:rPr>
          <w:rFonts w:hint="eastAsia" w:ascii="仿宋_GB2312" w:hAnsi="仿宋_GB2312" w:eastAsia="仿宋_GB2312" w:cs="仿宋_GB2312"/>
          <w:color w:val="000000"/>
          <w:sz w:val="24"/>
          <w:szCs w:val="24"/>
          <w:u w:val="none" w:color="000000"/>
          <w:lang w:val="zh-TW" w:eastAsia="zh-TW"/>
        </w:rPr>
      </w:pPr>
      <w:r>
        <w:rPr>
          <w:rFonts w:hint="eastAsia" w:ascii="仿宋_GB2312" w:hAnsi="仿宋_GB2312" w:eastAsia="仿宋_GB2312" w:cs="仿宋_GB2312"/>
          <w:color w:val="000000"/>
          <w:sz w:val="24"/>
          <w:szCs w:val="24"/>
          <w:u w:val="none" w:color="000000"/>
          <w:lang w:val="zh-TW" w:eastAsia="zh-TW"/>
        </w:rPr>
        <w:t>第二，合理甄选教材。按照各项要求，仔细合理地甄选教材。</w:t>
      </w:r>
    </w:p>
    <w:p>
      <w:pPr>
        <w:pageBreakBefore w:val="0"/>
        <w:kinsoku/>
        <w:wordWrap/>
        <w:overflowPunct/>
        <w:topLinePunct w:val="0"/>
        <w:autoSpaceDE/>
        <w:autoSpaceDN/>
        <w:bidi w:val="0"/>
        <w:adjustRightInd/>
        <w:snapToGrid/>
        <w:spacing w:line="500" w:lineRule="exact"/>
        <w:ind w:firstLine="480"/>
        <w:jc w:val="left"/>
        <w:textAlignment w:val="auto"/>
        <w:rPr>
          <w:rFonts w:hint="eastAsia" w:ascii="仿宋_GB2312" w:hAnsi="仿宋_GB2312" w:eastAsia="仿宋_GB2312" w:cs="仿宋_GB2312"/>
          <w:color w:val="000000"/>
          <w:sz w:val="24"/>
          <w:szCs w:val="24"/>
          <w:u w:val="none" w:color="000000"/>
          <w:lang w:val="zh-TW" w:eastAsia="zh-TW"/>
        </w:rPr>
      </w:pPr>
      <w:r>
        <w:rPr>
          <w:rFonts w:hint="eastAsia" w:ascii="仿宋_GB2312" w:hAnsi="仿宋_GB2312" w:eastAsia="仿宋_GB2312" w:cs="仿宋_GB2312"/>
          <w:color w:val="000000"/>
          <w:sz w:val="24"/>
          <w:szCs w:val="24"/>
          <w:u w:val="none" w:color="000000"/>
          <w:lang w:val="zh-TW" w:eastAsia="zh-TW"/>
        </w:rPr>
        <w:t>第三，积极开展教研教改。教师定期参加教研教改活动，开展教学理论研究，按照学科知识结构及学生的特点及时充实教学内容。</w:t>
      </w:r>
    </w:p>
    <w:p>
      <w:pPr>
        <w:pStyle w:val="3"/>
        <w:pageBreakBefore w:val="0"/>
        <w:kinsoku/>
        <w:wordWrap/>
        <w:overflowPunct/>
        <w:topLinePunct w:val="0"/>
        <w:autoSpaceDE/>
        <w:autoSpaceDN/>
        <w:bidi w:val="0"/>
        <w:adjustRightInd/>
        <w:snapToGrid/>
        <w:spacing w:before="0" w:after="0" w:line="500" w:lineRule="exact"/>
        <w:ind w:firstLine="562"/>
        <w:textAlignment w:val="auto"/>
        <w:rPr>
          <w:rFonts w:hint="eastAsia" w:ascii="仿宋_GB2312" w:hAnsi="仿宋_GB2312" w:eastAsia="仿宋_GB2312" w:cs="仿宋_GB2312"/>
          <w:b w:val="0"/>
          <w:bCs w:val="0"/>
          <w:color w:val="000000"/>
          <w:sz w:val="24"/>
          <w:szCs w:val="24"/>
          <w:u w:val="none" w:color="000000"/>
          <w:lang w:val="zh-TW" w:eastAsia="zh-TW"/>
        </w:rPr>
      </w:pPr>
      <w:r>
        <w:rPr>
          <w:rFonts w:hint="eastAsia" w:ascii="仿宋_GB2312" w:hAnsi="仿宋_GB2312" w:eastAsia="仿宋_GB2312" w:cs="仿宋_GB2312"/>
          <w:b w:val="0"/>
          <w:bCs w:val="0"/>
          <w:color w:val="000000"/>
          <w:sz w:val="24"/>
          <w:szCs w:val="24"/>
          <w:u w:val="none" w:color="000000"/>
          <w:lang w:val="zh-TW" w:eastAsia="zh-TW"/>
        </w:rPr>
        <w:t>第四，严格质量监控。在教学计划执行过程中，实施科学管理、严格监督的教学质量保障措施；主要通过教学常规检查，督导听课、领导听课和教师相互听课，学生代表座谈会及学生评教等方式规范教学过程，达到严格监控教学运行质量的目的。</w:t>
      </w:r>
    </w:p>
    <w:p>
      <w:pPr>
        <w:pStyle w:val="3"/>
        <w:keepNext/>
        <w:keepLines/>
        <w:pageBreakBefore w:val="0"/>
        <w:widowControl w:val="0"/>
        <w:numPr>
          <w:ilvl w:val="0"/>
          <w:numId w:val="4"/>
        </w:numPr>
        <w:kinsoku/>
        <w:wordWrap/>
        <w:overflowPunct/>
        <w:topLinePunct w:val="0"/>
        <w:autoSpaceDE/>
        <w:autoSpaceDN/>
        <w:bidi w:val="0"/>
        <w:adjustRightInd/>
        <w:snapToGrid/>
        <w:spacing w:before="0" w:after="0" w:line="500" w:lineRule="exact"/>
        <w:ind w:left="0" w:leftChars="0" w:firstLine="482" w:firstLineChars="20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经费保障</w:t>
      </w:r>
    </w:p>
    <w:p>
      <w:pPr>
        <w:pStyle w:val="2"/>
        <w:pageBreakBefore w:val="0"/>
        <w:kinsoku/>
        <w:wordWrap/>
        <w:overflowPunct/>
        <w:topLinePunct w:val="0"/>
        <w:autoSpaceDE/>
        <w:autoSpaceDN/>
        <w:bidi w:val="0"/>
        <w:adjustRightInd/>
        <w:snapToGrid/>
        <w:spacing w:line="500" w:lineRule="exact"/>
        <w:ind w:firstLine="480"/>
        <w:jc w:val="left"/>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kern w:val="2"/>
          <w:sz w:val="24"/>
          <w:szCs w:val="24"/>
          <w:highlight w:val="none"/>
        </w:rPr>
        <w:t>学校成人高等学历教育有独立的账户，学费收入主要用于课酬、设备、场地等经费的支出，教学实施经费有保障。</w:t>
      </w:r>
    </w:p>
    <w:sectPr>
      <w:footerReference r:id="rId4" w:type="first"/>
      <w:footerReference r:id="rId3" w:type="default"/>
      <w:pgSz w:w="11906" w:h="16838"/>
      <w:pgMar w:top="1134" w:right="1134" w:bottom="1134" w:left="1134"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6</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1</w:t>
    </w:r>
    <w:r>
      <w:rPr>
        <w:lang w:val="zh-CN"/>
      </w:rP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7F0693"/>
    <w:multiLevelType w:val="singleLevel"/>
    <w:tmpl w:val="897F0693"/>
    <w:lvl w:ilvl="0" w:tentative="0">
      <w:start w:val="1"/>
      <w:numFmt w:val="chineseCounting"/>
      <w:suff w:val="nothing"/>
      <w:lvlText w:val="（%1）"/>
      <w:lvlJc w:val="left"/>
      <w:pPr>
        <w:ind w:left="0" w:firstLine="420"/>
      </w:pPr>
      <w:rPr>
        <w:rFonts w:hint="eastAsia"/>
      </w:rPr>
    </w:lvl>
  </w:abstractNum>
  <w:abstractNum w:abstractNumId="1">
    <w:nsid w:val="BE73134F"/>
    <w:multiLevelType w:val="singleLevel"/>
    <w:tmpl w:val="BE73134F"/>
    <w:lvl w:ilvl="0" w:tentative="0">
      <w:start w:val="1"/>
      <w:numFmt w:val="chineseCounting"/>
      <w:suff w:val="nothing"/>
      <w:lvlText w:val="%1、"/>
      <w:lvlJc w:val="left"/>
      <w:pPr>
        <w:ind w:left="0" w:firstLine="420"/>
      </w:pPr>
      <w:rPr>
        <w:rFonts w:hint="eastAsia"/>
      </w:rPr>
    </w:lvl>
  </w:abstractNum>
  <w:abstractNum w:abstractNumId="2">
    <w:nsid w:val="0AA12F04"/>
    <w:multiLevelType w:val="singleLevel"/>
    <w:tmpl w:val="0AA12F04"/>
    <w:lvl w:ilvl="0" w:tentative="0">
      <w:start w:val="1"/>
      <w:numFmt w:val="chineseCounting"/>
      <w:suff w:val="nothing"/>
      <w:lvlText w:val="（%1）"/>
      <w:lvlJc w:val="left"/>
      <w:pPr>
        <w:ind w:left="0" w:firstLine="420"/>
      </w:pPr>
      <w:rPr>
        <w:rFonts w:hint="eastAsia"/>
      </w:rPr>
    </w:lvl>
  </w:abstractNum>
  <w:abstractNum w:abstractNumId="3">
    <w:nsid w:val="6EE7B260"/>
    <w:multiLevelType w:val="singleLevel"/>
    <w:tmpl w:val="6EE7B260"/>
    <w:lvl w:ilvl="0" w:tentative="0">
      <w:start w:val="1"/>
      <w:numFmt w:val="chineseCounting"/>
      <w:suff w:val="nothing"/>
      <w:lvlText w:val="（%1）"/>
      <w:lvlJc w:val="left"/>
      <w:rPr>
        <w:rFonts w:hint="eastAsi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NotTrackMoves/>
  <w:documentProtection w:enforcement="0"/>
  <w:defaultTabStop w:val="420"/>
  <w:doNotHyphenateCaps/>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jYmY5YmU4YTE1MDczMGExMTUzOGExNGQwMTJhOTQifQ=="/>
  </w:docVars>
  <w:rsids>
    <w:rsidRoot w:val="00000000"/>
    <w:rsid w:val="031A16B0"/>
    <w:rsid w:val="0AA41676"/>
    <w:rsid w:val="0D307C9D"/>
    <w:rsid w:val="10C85142"/>
    <w:rsid w:val="16867481"/>
    <w:rsid w:val="31A170D2"/>
    <w:rsid w:val="32CB151C"/>
    <w:rsid w:val="335E40BC"/>
    <w:rsid w:val="35037D58"/>
    <w:rsid w:val="3B5A7A15"/>
    <w:rsid w:val="40F05B71"/>
    <w:rsid w:val="4CB95C90"/>
    <w:rsid w:val="52C75604"/>
    <w:rsid w:val="5A4526A9"/>
    <w:rsid w:val="60212843"/>
    <w:rsid w:val="6E2650C1"/>
    <w:rsid w:val="7B4E4FA8"/>
    <w:rsid w:val="7D1E670F"/>
    <w:rsid w:val="7E942CAB"/>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 w:semiHidden="0" w:name="heading 2"/>
    <w:lsdException w:qFormat="1" w:uiPriority="0" w:name="heading 3" w:locked="1"/>
    <w:lsdException w:qFormat="1"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1"/>
    <w:basedOn w:val="1"/>
    <w:next w:val="1"/>
    <w:link w:val="27"/>
    <w:qFormat/>
    <w:locked/>
    <w:uiPriority w:val="0"/>
    <w:pPr>
      <w:keepNext/>
      <w:keepLines/>
      <w:spacing w:before="340" w:after="330" w:line="578" w:lineRule="auto"/>
      <w:outlineLvl w:val="0"/>
    </w:pPr>
    <w:rPr>
      <w:rFonts w:cs="Times New Roman"/>
      <w:b/>
      <w:bCs/>
      <w:kern w:val="44"/>
      <w:sz w:val="44"/>
      <w:szCs w:val="44"/>
    </w:rPr>
  </w:style>
  <w:style w:type="paragraph" w:styleId="4">
    <w:name w:val="heading 2"/>
    <w:basedOn w:val="1"/>
    <w:next w:val="1"/>
    <w:link w:val="18"/>
    <w:qFormat/>
    <w:uiPriority w:val="9"/>
    <w:pPr>
      <w:keepNext/>
      <w:keepLines/>
      <w:spacing w:line="460" w:lineRule="exact"/>
      <w:ind w:left="480" w:leftChars="200"/>
      <w:outlineLvl w:val="1"/>
    </w:pPr>
    <w:rPr>
      <w:rFonts w:ascii="Cambria" w:hAnsi="Cambria" w:cs="Times New Roman"/>
      <w:b/>
      <w:bCs/>
      <w:kern w:val="0"/>
      <w:sz w:val="32"/>
      <w:szCs w:val="32"/>
    </w:rPr>
  </w:style>
  <w:style w:type="paragraph" w:styleId="5">
    <w:name w:val="heading 4"/>
    <w:basedOn w:val="1"/>
    <w:next w:val="1"/>
    <w:link w:val="28"/>
    <w:unhideWhenUsed/>
    <w:qFormat/>
    <w:locked/>
    <w:uiPriority w:val="0"/>
    <w:pPr>
      <w:keepNext/>
      <w:keepLines/>
      <w:spacing w:before="280" w:after="290" w:line="376" w:lineRule="auto"/>
      <w:outlineLvl w:val="3"/>
    </w:pPr>
    <w:rPr>
      <w:rFonts w:ascii="Cambria" w:hAnsi="Cambria" w:cs="Times New Roman"/>
      <w:b/>
      <w:bCs/>
      <w:sz w:val="28"/>
      <w:szCs w:val="28"/>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rFonts w:ascii="Times New Roman" w:hAnsi="Times New Roman"/>
      <w:kern w:val="0"/>
      <w:sz w:val="20"/>
    </w:rPr>
  </w:style>
  <w:style w:type="paragraph" w:styleId="6">
    <w:name w:val="Date"/>
    <w:basedOn w:val="1"/>
    <w:next w:val="1"/>
    <w:link w:val="19"/>
    <w:qFormat/>
    <w:uiPriority w:val="99"/>
    <w:pPr>
      <w:ind w:left="100" w:leftChars="2500"/>
    </w:pPr>
    <w:rPr>
      <w:rFonts w:cs="Times New Roman"/>
      <w:kern w:val="0"/>
      <w:sz w:val="20"/>
      <w:szCs w:val="20"/>
    </w:rPr>
  </w:style>
  <w:style w:type="paragraph" w:styleId="7">
    <w:name w:val="Balloon Text"/>
    <w:basedOn w:val="1"/>
    <w:link w:val="20"/>
    <w:semiHidden/>
    <w:qFormat/>
    <w:uiPriority w:val="99"/>
    <w:rPr>
      <w:rFonts w:cs="Times New Roman"/>
      <w:kern w:val="0"/>
      <w:sz w:val="18"/>
      <w:szCs w:val="18"/>
    </w:rPr>
  </w:style>
  <w:style w:type="paragraph" w:styleId="8">
    <w:name w:val="footer"/>
    <w:basedOn w:val="1"/>
    <w:link w:val="21"/>
    <w:qFormat/>
    <w:uiPriority w:val="99"/>
    <w:pPr>
      <w:tabs>
        <w:tab w:val="center" w:pos="4153"/>
        <w:tab w:val="right" w:pos="8306"/>
      </w:tabs>
      <w:snapToGrid w:val="0"/>
      <w:jc w:val="left"/>
    </w:pPr>
    <w:rPr>
      <w:rFonts w:cs="Times New Roman"/>
      <w:kern w:val="0"/>
      <w:sz w:val="18"/>
      <w:szCs w:val="18"/>
    </w:rPr>
  </w:style>
  <w:style w:type="paragraph" w:styleId="9">
    <w:name w:val="header"/>
    <w:basedOn w:val="1"/>
    <w:link w:val="22"/>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10">
    <w:name w:val="toc 1"/>
    <w:basedOn w:val="1"/>
    <w:next w:val="1"/>
    <w:qFormat/>
    <w:locked/>
    <w:uiPriority w:val="39"/>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2">
    <w:name w:val="Title"/>
    <w:basedOn w:val="1"/>
    <w:next w:val="1"/>
    <w:link w:val="26"/>
    <w:qFormat/>
    <w:locked/>
    <w:uiPriority w:val="0"/>
    <w:pPr>
      <w:spacing w:before="240" w:after="60" w:line="460" w:lineRule="exact"/>
      <w:ind w:firstLine="200" w:firstLineChars="200"/>
      <w:jc w:val="center"/>
      <w:outlineLvl w:val="0"/>
    </w:pPr>
    <w:rPr>
      <w:rFonts w:ascii="Cambria" w:hAnsi="Cambria" w:eastAsia="黑体" w:cs="Times New Roman"/>
      <w:b/>
      <w:bCs/>
      <w:kern w:val="0"/>
      <w:sz w:val="36"/>
      <w:szCs w:val="32"/>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99"/>
    <w:rPr>
      <w:b/>
      <w:bCs/>
    </w:rPr>
  </w:style>
  <w:style w:type="character" w:styleId="17">
    <w:name w:val="Hyperlink"/>
    <w:qFormat/>
    <w:uiPriority w:val="99"/>
    <w:rPr>
      <w:color w:val="0000FF"/>
      <w:u w:val="single"/>
    </w:rPr>
  </w:style>
  <w:style w:type="character" w:customStyle="1" w:styleId="18">
    <w:name w:val="标题 2 字符"/>
    <w:link w:val="4"/>
    <w:semiHidden/>
    <w:qFormat/>
    <w:uiPriority w:val="9"/>
    <w:rPr>
      <w:rFonts w:ascii="Cambria" w:hAnsi="Cambria" w:eastAsia="宋体" w:cs="Times New Roman"/>
      <w:b/>
      <w:bCs/>
      <w:sz w:val="32"/>
      <w:szCs w:val="32"/>
    </w:rPr>
  </w:style>
  <w:style w:type="character" w:customStyle="1" w:styleId="19">
    <w:name w:val="日期 字符"/>
    <w:link w:val="6"/>
    <w:semiHidden/>
    <w:qFormat/>
    <w:locked/>
    <w:uiPriority w:val="99"/>
    <w:rPr>
      <w:rFonts w:ascii="Calibri" w:hAnsi="Calibri" w:eastAsia="宋体" w:cs="Calibri"/>
    </w:rPr>
  </w:style>
  <w:style w:type="character" w:customStyle="1" w:styleId="20">
    <w:name w:val="批注框文本 字符"/>
    <w:link w:val="7"/>
    <w:semiHidden/>
    <w:qFormat/>
    <w:locked/>
    <w:uiPriority w:val="99"/>
    <w:rPr>
      <w:rFonts w:ascii="Calibri" w:hAnsi="Calibri" w:eastAsia="宋体" w:cs="Calibri"/>
      <w:sz w:val="18"/>
      <w:szCs w:val="18"/>
    </w:rPr>
  </w:style>
  <w:style w:type="character" w:customStyle="1" w:styleId="21">
    <w:name w:val="页脚 字符"/>
    <w:link w:val="8"/>
    <w:qFormat/>
    <w:locked/>
    <w:uiPriority w:val="99"/>
    <w:rPr>
      <w:rFonts w:ascii="Calibri" w:hAnsi="Calibri" w:eastAsia="宋体" w:cs="Calibri"/>
      <w:sz w:val="18"/>
      <w:szCs w:val="18"/>
    </w:rPr>
  </w:style>
  <w:style w:type="character" w:customStyle="1" w:styleId="22">
    <w:name w:val="页眉 字符"/>
    <w:link w:val="9"/>
    <w:qFormat/>
    <w:locked/>
    <w:uiPriority w:val="99"/>
    <w:rPr>
      <w:rFonts w:ascii="Calibri" w:hAnsi="Calibri" w:eastAsia="宋体" w:cs="Calibri"/>
      <w:sz w:val="18"/>
      <w:szCs w:val="18"/>
    </w:rPr>
  </w:style>
  <w:style w:type="paragraph" w:customStyle="1" w:styleId="23">
    <w:name w:val="Char Char Char Char"/>
    <w:basedOn w:val="1"/>
    <w:qFormat/>
    <w:uiPriority w:val="99"/>
    <w:pPr>
      <w:widowControl/>
      <w:spacing w:after="160" w:line="240" w:lineRule="exact"/>
      <w:jc w:val="left"/>
    </w:pPr>
    <w:rPr>
      <w:rFonts w:ascii="Tahoma" w:hAnsi="Tahoma" w:cs="Tahoma"/>
      <w:kern w:val="0"/>
      <w:sz w:val="20"/>
      <w:szCs w:val="20"/>
      <w:lang w:eastAsia="en-US"/>
    </w:rPr>
  </w:style>
  <w:style w:type="paragraph" w:customStyle="1" w:styleId="24">
    <w:name w:val="List Paragraph1"/>
    <w:basedOn w:val="1"/>
    <w:qFormat/>
    <w:uiPriority w:val="99"/>
    <w:pPr>
      <w:ind w:firstLine="420" w:firstLineChars="200"/>
    </w:pPr>
  </w:style>
  <w:style w:type="paragraph" w:customStyle="1" w:styleId="25">
    <w:name w:val="p0"/>
    <w:basedOn w:val="1"/>
    <w:qFormat/>
    <w:uiPriority w:val="99"/>
    <w:pPr>
      <w:widowControl/>
    </w:pPr>
    <w:rPr>
      <w:kern w:val="0"/>
    </w:rPr>
  </w:style>
  <w:style w:type="character" w:customStyle="1" w:styleId="26">
    <w:name w:val="标题 字符"/>
    <w:link w:val="12"/>
    <w:qFormat/>
    <w:uiPriority w:val="0"/>
    <w:rPr>
      <w:rFonts w:ascii="Cambria" w:hAnsi="Cambria" w:eastAsia="黑体" w:cs="Times New Roman"/>
      <w:b/>
      <w:bCs/>
      <w:sz w:val="36"/>
      <w:szCs w:val="32"/>
    </w:rPr>
  </w:style>
  <w:style w:type="character" w:customStyle="1" w:styleId="27">
    <w:name w:val="标题 1 字符"/>
    <w:link w:val="3"/>
    <w:qFormat/>
    <w:uiPriority w:val="0"/>
    <w:rPr>
      <w:rFonts w:ascii="Calibri" w:hAnsi="Calibri" w:cs="Calibri"/>
      <w:b/>
      <w:bCs/>
      <w:kern w:val="44"/>
      <w:sz w:val="44"/>
      <w:szCs w:val="44"/>
    </w:rPr>
  </w:style>
  <w:style w:type="character" w:customStyle="1" w:styleId="28">
    <w:name w:val="标题 4 字符"/>
    <w:link w:val="5"/>
    <w:semiHidden/>
    <w:qFormat/>
    <w:uiPriority w:val="0"/>
    <w:rPr>
      <w:rFonts w:ascii="Cambria" w:hAnsi="Cambria" w:eastAsia="宋体" w:cs="Times New Roman"/>
      <w:b/>
      <w:bCs/>
      <w:kern w:val="2"/>
      <w:sz w:val="28"/>
      <w:szCs w:val="28"/>
    </w:rPr>
  </w:style>
  <w:style w:type="paragraph" w:customStyle="1" w:styleId="29">
    <w:name w:val="表格内容"/>
    <w:basedOn w:val="1"/>
    <w:qFormat/>
    <w:uiPriority w:val="0"/>
    <w:pPr>
      <w:overflowPunct w:val="0"/>
      <w:adjustRightInd w:val="0"/>
      <w:snapToGrid w:val="0"/>
      <w:jc w:val="center"/>
    </w:pPr>
    <w:rPr>
      <w:rFonts w:ascii="仿宋" w:hAnsi="仿宋" w:cs="仿宋"/>
      <w:szCs w:val="30"/>
    </w:rPr>
  </w:style>
  <w:style w:type="table" w:customStyle="1" w:styleId="30">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14</Pages>
  <Words>11206</Words>
  <Characters>11868</Characters>
  <Lines>33</Lines>
  <Paragraphs>9</Paragraphs>
  <TotalTime>1</TotalTime>
  <ScaleCrop>false</ScaleCrop>
  <LinksUpToDate>false</LinksUpToDate>
  <CharactersWithSpaces>11938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2020-04-13T13:45:00Z</dcterms:created>
  <dc:creator>林燕</dc:creator>
  <cp:lastModifiedBy>小李老师</cp:lastModifiedBy>
  <cp:lastPrinted>2018-12-27T10:38:00Z</cp:lastPrinted>
  <dcterms:modified xsi:type="dcterms:W3CDTF">2023-06-27T01:43:04Z</dcterms:modified>
  <dc:title>2020级金融管理专业人才培养方案</dc:title>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900565A2A6AA43A990717B1156A6EF46_13</vt:lpwstr>
  </property>
</Properties>
</file>