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spacing w:line="560" w:lineRule="exact"/>
        <w:ind w:firstLine="0" w:firstLineChars="0"/>
        <w:jc w:val="center"/>
        <w:rPr>
          <w:rFonts w:ascii="华文中宋" w:hAnsi="华文中宋" w:eastAsia="华文中宋" w:cs="华文中宋"/>
          <w:sz w:val="44"/>
          <w:szCs w:val="44"/>
        </w:rPr>
      </w:pPr>
      <w:r>
        <w:rPr>
          <w:rFonts w:hint="eastAsia" w:ascii="华文中宋" w:hAnsi="华文中宋" w:eastAsia="华文中宋" w:cs="华文中宋"/>
          <w:sz w:val="44"/>
          <w:szCs w:val="44"/>
        </w:rPr>
        <w:t>成人高等教育</w:t>
      </w:r>
      <w:r>
        <w:rPr>
          <w:rFonts w:hint="eastAsia" w:ascii="华文中宋" w:hAnsi="华文中宋" w:eastAsia="华文中宋" w:cs="华文中宋"/>
          <w:sz w:val="44"/>
          <w:szCs w:val="44"/>
          <w:lang w:eastAsia="zh-CN"/>
        </w:rPr>
        <w:t>市场营销</w:t>
      </w:r>
      <w:r>
        <w:rPr>
          <w:rFonts w:hint="eastAsia" w:ascii="华文中宋" w:hAnsi="华文中宋" w:eastAsia="华文中宋" w:cs="华文中宋"/>
          <w:sz w:val="44"/>
          <w:szCs w:val="44"/>
        </w:rPr>
        <w:t>专业人才培养方案</w:t>
      </w:r>
    </w:p>
    <w:p>
      <w:pPr>
        <w:pStyle w:val="12"/>
        <w:spacing w:line="560" w:lineRule="exact"/>
        <w:ind w:firstLine="0" w:firstLineChars="0"/>
        <w:jc w:val="center"/>
        <w:rPr>
          <w:b w:val="0"/>
          <w:sz w:val="32"/>
        </w:rPr>
      </w:pPr>
      <w:r>
        <w:rPr>
          <w:rFonts w:hint="eastAsia"/>
          <w:b w:val="0"/>
          <w:sz w:val="32"/>
        </w:rPr>
        <w:t>办学层次：专升本</w:t>
      </w:r>
      <w:r>
        <w:rPr>
          <w:rFonts w:hint="eastAsia" w:ascii="黑体" w:hAnsi="黑体"/>
          <w:kern w:val="44"/>
          <w:sz w:val="32"/>
        </w:rPr>
        <w:t xml:space="preserve">     </w:t>
      </w:r>
      <w:r>
        <w:rPr>
          <w:rFonts w:hint="eastAsia"/>
          <w:b w:val="0"/>
          <w:sz w:val="32"/>
        </w:rPr>
        <w:t>学习形式：函授</w:t>
      </w:r>
    </w:p>
    <w:p>
      <w:pPr>
        <w:rPr>
          <w:rFonts w:hint="eastAsia" w:ascii="仿宋_GB2312" w:hAnsi="仿宋_GB2312" w:eastAsia="仿宋_GB2312" w:cs="仿宋_GB2312"/>
          <w:sz w:val="24"/>
          <w:szCs w:val="24"/>
        </w:rPr>
      </w:pP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rPr>
      </w:pPr>
      <w:r>
        <w:rPr>
          <w:rFonts w:hint="eastAsia" w:ascii="黑体" w:hAnsi="黑体" w:eastAsia="黑体"/>
          <w:b w:val="0"/>
          <w:bCs w:val="0"/>
          <w:sz w:val="24"/>
          <w:szCs w:val="24"/>
        </w:rPr>
        <w:t>专业名称及代码</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rPr>
        <w:t>专</w:t>
      </w:r>
      <w:r>
        <w:rPr>
          <w:rFonts w:hint="eastAsia" w:ascii="仿宋_GB2312" w:hAnsi="仿宋_GB2312" w:eastAsia="仿宋_GB2312" w:cs="仿宋_GB2312"/>
          <w:sz w:val="24"/>
          <w:szCs w:val="24"/>
          <w:highlight w:val="none"/>
        </w:rPr>
        <w:t>业名称：</w:t>
      </w:r>
      <w:r>
        <w:rPr>
          <w:rFonts w:hint="eastAsia" w:ascii="仿宋_GB2312" w:hAnsi="仿宋_GB2312" w:eastAsia="仿宋_GB2312" w:cs="仿宋_GB2312"/>
          <w:sz w:val="24"/>
          <w:szCs w:val="24"/>
          <w:highlight w:val="none"/>
          <w:lang w:eastAsia="zh-CN"/>
        </w:rPr>
        <w:t>市场营销</w:t>
      </w:r>
      <w:r>
        <w:rPr>
          <w:rFonts w:hint="eastAsia" w:ascii="仿宋_GB2312" w:hAnsi="仿宋_GB2312" w:eastAsia="仿宋_GB2312" w:cs="仿宋_GB2312"/>
          <w:sz w:val="24"/>
          <w:szCs w:val="24"/>
          <w:highlight w:val="none"/>
        </w:rPr>
        <w:t xml:space="preserve">             </w:t>
      </w:r>
      <w:r>
        <w:rPr>
          <w:rFonts w:hint="eastAsia" w:ascii="仿宋_GB2312" w:hAnsi="仿宋_GB2312" w:eastAsia="仿宋_GB2312" w:cs="仿宋_GB2312"/>
          <w:sz w:val="24"/>
          <w:szCs w:val="24"/>
          <w:highlight w:val="none"/>
          <w:lang w:val="en-US" w:eastAsia="zh-CN"/>
        </w:rPr>
        <w:t xml:space="preserve">   </w:t>
      </w:r>
      <w:r>
        <w:rPr>
          <w:rFonts w:hint="eastAsia" w:ascii="仿宋_GB2312" w:hAnsi="仿宋_GB2312" w:eastAsia="仿宋_GB2312" w:cs="仿宋_GB2312"/>
          <w:sz w:val="24"/>
          <w:szCs w:val="24"/>
          <w:highlight w:val="none"/>
        </w:rPr>
        <w:t>专业门类：</w:t>
      </w:r>
      <w:r>
        <w:rPr>
          <w:rFonts w:hint="eastAsia" w:ascii="仿宋_GB2312" w:hAnsi="仿宋_GB2312" w:eastAsia="仿宋_GB2312" w:cs="仿宋_GB2312"/>
          <w:sz w:val="24"/>
          <w:szCs w:val="24"/>
          <w:highlight w:val="none"/>
          <w:lang w:val="en-US" w:eastAsia="zh-CN"/>
        </w:rPr>
        <w:t>工商管理类</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专业代码：</w:t>
      </w:r>
      <w:r>
        <w:rPr>
          <w:rFonts w:hint="eastAsia" w:ascii="仿宋_GB2312" w:hAnsi="仿宋_GB2312" w:eastAsia="仿宋_GB2312" w:cs="仿宋_GB2312"/>
          <w:sz w:val="24"/>
          <w:szCs w:val="24"/>
          <w:highlight w:val="none"/>
          <w:lang w:val="en-US" w:eastAsia="zh-CN"/>
        </w:rPr>
        <w:t xml:space="preserve">120202       </w:t>
      </w:r>
      <w:r>
        <w:rPr>
          <w:rFonts w:hint="eastAsia" w:ascii="仿宋_GB2312" w:hAnsi="仿宋_GB2312" w:eastAsia="仿宋_GB2312" w:cs="仿宋_GB2312"/>
          <w:sz w:val="24"/>
          <w:szCs w:val="24"/>
          <w:highlight w:val="none"/>
        </w:rPr>
        <w:t xml:space="preserve">      </w:t>
      </w:r>
      <w:r>
        <w:rPr>
          <w:rFonts w:hint="eastAsia" w:ascii="仿宋_GB2312" w:hAnsi="仿宋_GB2312" w:eastAsia="仿宋_GB2312" w:cs="仿宋_GB2312"/>
          <w:sz w:val="24"/>
          <w:szCs w:val="24"/>
          <w:highlight w:val="none"/>
          <w:lang w:val="en-US" w:eastAsia="zh-CN"/>
        </w:rPr>
        <w:t xml:space="preserve"> </w:t>
      </w:r>
      <w:r>
        <w:rPr>
          <w:rFonts w:hint="eastAsia" w:ascii="仿宋_GB2312" w:hAnsi="仿宋_GB2312" w:eastAsia="仿宋_GB2312" w:cs="仿宋_GB2312"/>
          <w:sz w:val="24"/>
          <w:szCs w:val="24"/>
          <w:highlight w:val="none"/>
        </w:rPr>
        <w:t xml:space="preserve">    基本学制：2.5年</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授予学位：</w:t>
      </w:r>
      <w:r>
        <w:rPr>
          <w:rFonts w:hint="eastAsia" w:ascii="仿宋_GB2312" w:hAnsi="仿宋_GB2312" w:eastAsia="仿宋_GB2312" w:cs="仿宋_GB2312"/>
          <w:sz w:val="24"/>
          <w:szCs w:val="24"/>
          <w:highlight w:val="none"/>
          <w:lang w:val="en-US" w:eastAsia="zh-CN"/>
        </w:rPr>
        <w:t xml:space="preserve">管理学学士         </w:t>
      </w:r>
      <w:r>
        <w:rPr>
          <w:rFonts w:hint="eastAsia" w:ascii="仿宋_GB2312" w:hAnsi="仿宋_GB2312" w:eastAsia="仿宋_GB2312" w:cs="仿宋_GB2312"/>
          <w:sz w:val="24"/>
          <w:szCs w:val="24"/>
          <w:highlight w:val="none"/>
        </w:rPr>
        <w:t xml:space="preserve">     学习年限：2.5-</w:t>
      </w:r>
      <w:r>
        <w:rPr>
          <w:rFonts w:hint="eastAsia" w:ascii="仿宋_GB2312" w:hAnsi="仿宋_GB2312" w:eastAsia="仿宋_GB2312" w:cs="仿宋_GB2312"/>
          <w:sz w:val="24"/>
          <w:szCs w:val="24"/>
          <w:highlight w:val="none"/>
          <w:lang w:val="en-US" w:eastAsia="zh-CN"/>
        </w:rPr>
        <w:t>5</w:t>
      </w:r>
      <w:r>
        <w:rPr>
          <w:rFonts w:hint="eastAsia" w:ascii="仿宋_GB2312" w:hAnsi="仿宋_GB2312" w:eastAsia="仿宋_GB2312" w:cs="仿宋_GB2312"/>
          <w:sz w:val="24"/>
          <w:szCs w:val="24"/>
          <w:highlight w:val="none"/>
        </w:rPr>
        <w:t>年</w:t>
      </w:r>
    </w:p>
    <w:p>
      <w:pPr>
        <w:pStyle w:val="2"/>
        <w:rPr>
          <w:rFonts w:hint="eastAsia"/>
        </w:rPr>
      </w:pP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rPr>
        <w:t>入学要求</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学员必须取得经教育部审定核准的国民教育系列高等学校、高等教育自学考试机构颁发的专科以上毕业证书，且通过成人高考被我校录取。</w:t>
      </w:r>
    </w:p>
    <w:p>
      <w:pPr>
        <w:pStyle w:val="2"/>
      </w:pP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rPr>
        <w:t>培养目标与</w:t>
      </w:r>
      <w:r>
        <w:rPr>
          <w:rFonts w:hint="eastAsia" w:ascii="黑体" w:hAnsi="黑体" w:eastAsia="黑体"/>
          <w:b w:val="0"/>
          <w:bCs w:val="0"/>
          <w:sz w:val="24"/>
          <w:szCs w:val="24"/>
          <w:highlight w:val="none"/>
          <w:lang w:val="en-US" w:eastAsia="zh-CN"/>
        </w:rPr>
        <w:t>培养</w:t>
      </w:r>
      <w:r>
        <w:rPr>
          <w:rFonts w:hint="eastAsia" w:ascii="黑体" w:hAnsi="黑体" w:eastAsia="黑体"/>
          <w:b w:val="0"/>
          <w:bCs w:val="0"/>
          <w:sz w:val="24"/>
          <w:szCs w:val="24"/>
          <w:highlight w:val="none"/>
        </w:rPr>
        <w:t>规格</w:t>
      </w:r>
    </w:p>
    <w:p>
      <w:pPr>
        <w:pStyle w:val="3"/>
        <w:pageBreakBefore w:val="0"/>
        <w:widowControl w:val="0"/>
        <w:numPr>
          <w:ilvl w:val="0"/>
          <w:numId w:val="2"/>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培养目标</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sz w:val="24"/>
          <w:szCs w:val="24"/>
          <w:highlight w:val="none"/>
          <w:lang w:val="en-US"/>
        </w:rPr>
      </w:pPr>
      <w:r>
        <w:rPr>
          <w:rFonts w:hint="eastAsia" w:ascii="仿宋_GB2312" w:hAnsi="仿宋_GB2312" w:eastAsia="仿宋_GB2312" w:cs="仿宋_GB2312"/>
          <w:b w:val="0"/>
          <w:bCs/>
          <w:color w:val="000000"/>
          <w:kern w:val="0"/>
          <w:sz w:val="24"/>
          <w:szCs w:val="24"/>
          <w:lang w:eastAsia="zh-CN"/>
        </w:rPr>
        <w:t>本专业培养拥护中国共产党的领导，拥护中国特色社会主义制度，理想信念坚定，德智体美劳全面发展，具有一定的科学文化水平，具有良好的人文素养、职业道德、创新精神和工匠精神，具有较强的职业能力、就业能力和可持续发展的能力，掌握市场营销的基本理论的专业知识和技术技能，面向各类企业及相关事业单位、政府部门，能够从事市场调研、销售管理、市场开拓、渠道管理、品牌管理和营销策划等工作的“厚德、励志、博学、创新”的复合型、应用型人才。</w:t>
      </w:r>
    </w:p>
    <w:p>
      <w:pPr>
        <w:pStyle w:val="3"/>
        <w:pageBreakBefore w:val="0"/>
        <w:widowControl w:val="0"/>
        <w:numPr>
          <w:ilvl w:val="0"/>
          <w:numId w:val="2"/>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培养规格</w:t>
      </w:r>
    </w:p>
    <w:p>
      <w:pPr>
        <w:pageBreakBefore w:val="0"/>
        <w:widowControl w:val="0"/>
        <w:kinsoku/>
        <w:wordWrap/>
        <w:overflowPunct/>
        <w:topLinePunct w:val="0"/>
        <w:autoSpaceDE/>
        <w:autoSpaceDN/>
        <w:bidi w:val="0"/>
        <w:adjustRightInd/>
        <w:snapToGrid/>
        <w:spacing w:line="500" w:lineRule="exact"/>
        <w:ind w:firstLine="482" w:firstLineChars="200"/>
        <w:textAlignment w:val="auto"/>
        <w:rPr>
          <w:rFonts w:hint="eastAsia" w:ascii="仿宋_GB2312" w:hAnsi="仿宋_GB2312" w:eastAsia="仿宋_GB2312" w:cs="仿宋_GB2312"/>
          <w:b/>
          <w:bCs w:val="0"/>
          <w:sz w:val="24"/>
          <w:szCs w:val="24"/>
          <w:highlight w:val="none"/>
          <w:lang w:val="en-US" w:eastAsia="zh-CN"/>
        </w:rPr>
      </w:pPr>
      <w:r>
        <w:rPr>
          <w:rFonts w:hint="eastAsia" w:ascii="仿宋_GB2312" w:hAnsi="仿宋_GB2312" w:eastAsia="仿宋_GB2312" w:cs="仿宋_GB2312"/>
          <w:b/>
          <w:bCs w:val="0"/>
          <w:sz w:val="24"/>
          <w:szCs w:val="24"/>
          <w:highlight w:val="none"/>
          <w:lang w:val="en-US" w:eastAsia="zh-CN"/>
        </w:rPr>
        <w:t>1.素质要求</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right="0" w:rightChars="0" w:firstLine="480" w:firstLineChars="200"/>
        <w:jc w:val="both"/>
        <w:textAlignment w:val="auto"/>
        <w:outlineLvl w:val="9"/>
        <w:rPr>
          <w:rFonts w:hint="eastAsia" w:ascii="仿宋_GB2312" w:hAnsi="仿宋_GB2312" w:eastAsia="仿宋_GB2312" w:cs="仿宋_GB2312"/>
          <w:b w:val="0"/>
          <w:bCs/>
          <w:color w:val="000000"/>
          <w:kern w:val="0"/>
          <w:sz w:val="24"/>
          <w:szCs w:val="24"/>
          <w:lang w:eastAsia="zh-CN"/>
        </w:rPr>
      </w:pPr>
      <w:r>
        <w:rPr>
          <w:rFonts w:hint="eastAsia" w:ascii="仿宋_GB2312" w:hAnsi="仿宋_GB2312" w:eastAsia="仿宋_GB2312" w:cs="仿宋_GB2312"/>
          <w:b w:val="0"/>
          <w:bCs/>
          <w:color w:val="000000"/>
          <w:kern w:val="0"/>
          <w:sz w:val="24"/>
          <w:szCs w:val="24"/>
          <w:lang w:eastAsia="zh-CN"/>
        </w:rPr>
        <w:t>（</w:t>
      </w:r>
      <w:r>
        <w:rPr>
          <w:rFonts w:hint="eastAsia" w:ascii="仿宋_GB2312" w:hAnsi="仿宋_GB2312" w:eastAsia="仿宋_GB2312" w:cs="仿宋_GB2312"/>
          <w:b w:val="0"/>
          <w:bCs/>
          <w:color w:val="000000"/>
          <w:kern w:val="0"/>
          <w:sz w:val="24"/>
          <w:szCs w:val="24"/>
          <w:lang w:val="en-US" w:eastAsia="zh-CN"/>
        </w:rPr>
        <w:t>1</w:t>
      </w:r>
      <w:r>
        <w:rPr>
          <w:rFonts w:hint="eastAsia" w:ascii="仿宋_GB2312" w:hAnsi="仿宋_GB2312" w:eastAsia="仿宋_GB2312" w:cs="仿宋_GB2312"/>
          <w:b w:val="0"/>
          <w:bCs/>
          <w:color w:val="000000"/>
          <w:kern w:val="0"/>
          <w:sz w:val="24"/>
          <w:szCs w:val="24"/>
          <w:lang w:eastAsia="zh-CN"/>
        </w:rPr>
        <w:t>）坚定拥护中国共产党领导和我国社会主义制度，在习近平新时代中国特色社会主义思想指引下，践行社会主义核心价值观，具有深厚的爱国情感和中华民族自豪感；</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right="0" w:rightChars="0" w:firstLine="480" w:firstLineChars="200"/>
        <w:jc w:val="both"/>
        <w:textAlignment w:val="auto"/>
        <w:outlineLvl w:val="9"/>
        <w:rPr>
          <w:rFonts w:hint="eastAsia" w:ascii="仿宋_GB2312" w:hAnsi="仿宋_GB2312" w:eastAsia="仿宋_GB2312" w:cs="仿宋_GB2312"/>
          <w:b w:val="0"/>
          <w:bCs/>
          <w:color w:val="000000"/>
          <w:kern w:val="0"/>
          <w:sz w:val="24"/>
          <w:szCs w:val="24"/>
          <w:lang w:eastAsia="zh-CN"/>
        </w:rPr>
      </w:pPr>
      <w:r>
        <w:rPr>
          <w:rFonts w:hint="eastAsia" w:ascii="仿宋_GB2312" w:hAnsi="仿宋_GB2312" w:eastAsia="仿宋_GB2312" w:cs="仿宋_GB2312"/>
          <w:b w:val="0"/>
          <w:bCs/>
          <w:color w:val="000000"/>
          <w:kern w:val="0"/>
          <w:sz w:val="24"/>
          <w:szCs w:val="24"/>
          <w:lang w:eastAsia="zh-CN"/>
        </w:rPr>
        <w:t>（</w:t>
      </w:r>
      <w:r>
        <w:rPr>
          <w:rFonts w:hint="eastAsia" w:ascii="仿宋_GB2312" w:hAnsi="仿宋_GB2312" w:eastAsia="仿宋_GB2312" w:cs="仿宋_GB2312"/>
          <w:b w:val="0"/>
          <w:bCs/>
          <w:color w:val="000000"/>
          <w:kern w:val="0"/>
          <w:sz w:val="24"/>
          <w:szCs w:val="24"/>
          <w:lang w:val="en-US" w:eastAsia="zh-CN"/>
        </w:rPr>
        <w:t>2</w:t>
      </w:r>
      <w:r>
        <w:rPr>
          <w:rFonts w:hint="eastAsia" w:ascii="仿宋_GB2312" w:hAnsi="仿宋_GB2312" w:eastAsia="仿宋_GB2312" w:cs="仿宋_GB2312"/>
          <w:b w:val="0"/>
          <w:bCs/>
          <w:color w:val="000000"/>
          <w:kern w:val="0"/>
          <w:sz w:val="24"/>
          <w:szCs w:val="24"/>
          <w:lang w:eastAsia="zh-CN"/>
        </w:rPr>
        <w:t>）崇尚宪法、遵法守纪、崇德向善、诚实守信、尊重生命、热爱劳动，履行道德准则和行为规范，具有社会责任感和社会参与意识；</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right="0" w:rightChars="0" w:firstLine="480" w:firstLineChars="200"/>
        <w:jc w:val="both"/>
        <w:textAlignment w:val="auto"/>
        <w:outlineLvl w:val="9"/>
        <w:rPr>
          <w:rFonts w:hint="eastAsia" w:ascii="仿宋_GB2312" w:hAnsi="仿宋_GB2312" w:eastAsia="仿宋_GB2312" w:cs="仿宋_GB2312"/>
          <w:b w:val="0"/>
          <w:bCs/>
          <w:color w:val="000000"/>
          <w:kern w:val="0"/>
          <w:sz w:val="24"/>
          <w:szCs w:val="24"/>
          <w:lang w:eastAsia="zh-CN"/>
        </w:rPr>
      </w:pPr>
      <w:r>
        <w:rPr>
          <w:rFonts w:hint="eastAsia" w:ascii="仿宋_GB2312" w:hAnsi="仿宋_GB2312" w:eastAsia="仿宋_GB2312" w:cs="仿宋_GB2312"/>
          <w:b w:val="0"/>
          <w:bCs/>
          <w:color w:val="000000"/>
          <w:kern w:val="0"/>
          <w:sz w:val="24"/>
          <w:szCs w:val="24"/>
          <w:lang w:eastAsia="zh-CN"/>
        </w:rPr>
        <w:t>（</w:t>
      </w:r>
      <w:r>
        <w:rPr>
          <w:rFonts w:hint="eastAsia" w:ascii="仿宋_GB2312" w:hAnsi="仿宋_GB2312" w:eastAsia="仿宋_GB2312" w:cs="仿宋_GB2312"/>
          <w:b w:val="0"/>
          <w:bCs/>
          <w:color w:val="000000"/>
          <w:kern w:val="0"/>
          <w:sz w:val="24"/>
          <w:szCs w:val="24"/>
          <w:lang w:val="en-US" w:eastAsia="zh-CN"/>
        </w:rPr>
        <w:t>3</w:t>
      </w:r>
      <w:r>
        <w:rPr>
          <w:rFonts w:hint="eastAsia" w:ascii="仿宋_GB2312" w:hAnsi="仿宋_GB2312" w:eastAsia="仿宋_GB2312" w:cs="仿宋_GB2312"/>
          <w:b w:val="0"/>
          <w:bCs/>
          <w:color w:val="000000"/>
          <w:kern w:val="0"/>
          <w:sz w:val="24"/>
          <w:szCs w:val="24"/>
          <w:lang w:eastAsia="zh-CN"/>
        </w:rPr>
        <w:t>）具有质量意识、环保意识、安全意识、信息素养、工匠精神、创新思维；</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right="0" w:rightChars="0" w:firstLine="480" w:firstLineChars="200"/>
        <w:jc w:val="both"/>
        <w:textAlignment w:val="auto"/>
        <w:outlineLvl w:val="9"/>
        <w:rPr>
          <w:rFonts w:hint="eastAsia" w:ascii="仿宋_GB2312" w:hAnsi="仿宋_GB2312" w:eastAsia="仿宋_GB2312" w:cs="仿宋_GB2312"/>
          <w:b w:val="0"/>
          <w:bCs/>
          <w:color w:val="000000"/>
          <w:kern w:val="0"/>
          <w:sz w:val="24"/>
          <w:szCs w:val="24"/>
          <w:lang w:eastAsia="zh-CN"/>
        </w:rPr>
      </w:pPr>
      <w:r>
        <w:rPr>
          <w:rFonts w:hint="eastAsia" w:ascii="仿宋_GB2312" w:hAnsi="仿宋_GB2312" w:eastAsia="仿宋_GB2312" w:cs="仿宋_GB2312"/>
          <w:b w:val="0"/>
          <w:bCs/>
          <w:color w:val="000000"/>
          <w:kern w:val="0"/>
          <w:sz w:val="24"/>
          <w:szCs w:val="24"/>
          <w:lang w:eastAsia="zh-CN"/>
        </w:rPr>
        <w:t>（</w:t>
      </w:r>
      <w:r>
        <w:rPr>
          <w:rFonts w:hint="eastAsia" w:ascii="仿宋_GB2312" w:hAnsi="仿宋_GB2312" w:eastAsia="仿宋_GB2312" w:cs="仿宋_GB2312"/>
          <w:b w:val="0"/>
          <w:bCs/>
          <w:color w:val="000000"/>
          <w:kern w:val="0"/>
          <w:sz w:val="24"/>
          <w:szCs w:val="24"/>
          <w:lang w:val="en-US" w:eastAsia="zh-CN"/>
        </w:rPr>
        <w:t>4</w:t>
      </w:r>
      <w:r>
        <w:rPr>
          <w:rFonts w:hint="eastAsia" w:ascii="仿宋_GB2312" w:hAnsi="仿宋_GB2312" w:eastAsia="仿宋_GB2312" w:cs="仿宋_GB2312"/>
          <w:b w:val="0"/>
          <w:bCs/>
          <w:color w:val="000000"/>
          <w:kern w:val="0"/>
          <w:sz w:val="24"/>
          <w:szCs w:val="24"/>
          <w:lang w:eastAsia="zh-CN"/>
        </w:rPr>
        <w:t>）勇于奋斗、乐观向上，具有自我管理能力、职业生涯规划的意识，有较强的集体意识和团队合作精神；</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right="0" w:rightChars="0" w:firstLine="480" w:firstLineChars="200"/>
        <w:jc w:val="both"/>
        <w:textAlignment w:val="auto"/>
        <w:outlineLvl w:val="9"/>
        <w:rPr>
          <w:rFonts w:hint="eastAsia" w:ascii="仿宋_GB2312" w:hAnsi="仿宋_GB2312" w:eastAsia="仿宋_GB2312" w:cs="仿宋_GB2312"/>
          <w:b w:val="0"/>
          <w:bCs/>
          <w:color w:val="000000"/>
          <w:kern w:val="0"/>
          <w:sz w:val="24"/>
          <w:szCs w:val="24"/>
          <w:lang w:eastAsia="zh-CN"/>
        </w:rPr>
      </w:pPr>
      <w:r>
        <w:rPr>
          <w:rFonts w:hint="eastAsia" w:ascii="仿宋_GB2312" w:hAnsi="仿宋_GB2312" w:eastAsia="仿宋_GB2312" w:cs="仿宋_GB2312"/>
          <w:b w:val="0"/>
          <w:bCs/>
          <w:color w:val="000000"/>
          <w:kern w:val="0"/>
          <w:sz w:val="24"/>
          <w:szCs w:val="24"/>
          <w:lang w:eastAsia="zh-CN"/>
        </w:rPr>
        <w:t>（</w:t>
      </w:r>
      <w:r>
        <w:rPr>
          <w:rFonts w:hint="eastAsia" w:ascii="仿宋_GB2312" w:hAnsi="仿宋_GB2312" w:eastAsia="仿宋_GB2312" w:cs="仿宋_GB2312"/>
          <w:b w:val="0"/>
          <w:bCs/>
          <w:color w:val="000000"/>
          <w:kern w:val="0"/>
          <w:sz w:val="24"/>
          <w:szCs w:val="24"/>
          <w:lang w:val="en-US" w:eastAsia="zh-CN"/>
        </w:rPr>
        <w:t>5</w:t>
      </w:r>
      <w:r>
        <w:rPr>
          <w:rFonts w:hint="eastAsia" w:ascii="仿宋_GB2312" w:hAnsi="仿宋_GB2312" w:eastAsia="仿宋_GB2312" w:cs="仿宋_GB2312"/>
          <w:b w:val="0"/>
          <w:bCs/>
          <w:color w:val="000000"/>
          <w:kern w:val="0"/>
          <w:sz w:val="24"/>
          <w:szCs w:val="24"/>
          <w:lang w:eastAsia="zh-CN"/>
        </w:rPr>
        <w:t>）具有健康的体魄、心理和健全的人格，掌握基本运动知识和1-2项运动技能，养成良好的健身与卫生习惯，良好的行为习惯；</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color w:val="000000"/>
          <w:kern w:val="0"/>
          <w:sz w:val="24"/>
          <w:szCs w:val="24"/>
          <w:lang w:eastAsia="zh-CN"/>
        </w:rPr>
        <w:t>（</w:t>
      </w:r>
      <w:r>
        <w:rPr>
          <w:rFonts w:hint="eastAsia" w:ascii="仿宋_GB2312" w:hAnsi="仿宋_GB2312" w:eastAsia="仿宋_GB2312" w:cs="仿宋_GB2312"/>
          <w:b w:val="0"/>
          <w:bCs/>
          <w:color w:val="000000"/>
          <w:kern w:val="0"/>
          <w:sz w:val="24"/>
          <w:szCs w:val="24"/>
          <w:lang w:val="en-US" w:eastAsia="zh-CN"/>
        </w:rPr>
        <w:t>6</w:t>
      </w:r>
      <w:r>
        <w:rPr>
          <w:rFonts w:hint="eastAsia" w:ascii="仿宋_GB2312" w:hAnsi="仿宋_GB2312" w:eastAsia="仿宋_GB2312" w:cs="仿宋_GB2312"/>
          <w:b w:val="0"/>
          <w:bCs/>
          <w:color w:val="000000"/>
          <w:kern w:val="0"/>
          <w:sz w:val="24"/>
          <w:szCs w:val="24"/>
          <w:lang w:eastAsia="zh-CN"/>
        </w:rPr>
        <w:t>）具有一定的审美和人文素养，能够形成1-2项艺术特长或爱好。</w:t>
      </w:r>
    </w:p>
    <w:p>
      <w:pPr>
        <w:pageBreakBefore w:val="0"/>
        <w:widowControl w:val="0"/>
        <w:kinsoku/>
        <w:wordWrap/>
        <w:overflowPunct/>
        <w:topLinePunct w:val="0"/>
        <w:autoSpaceDE/>
        <w:autoSpaceDN/>
        <w:bidi w:val="0"/>
        <w:adjustRightInd/>
        <w:snapToGrid/>
        <w:spacing w:line="500" w:lineRule="exact"/>
        <w:ind w:firstLine="482" w:firstLineChars="200"/>
        <w:textAlignment w:val="auto"/>
        <w:rPr>
          <w:rFonts w:hint="eastAsia" w:ascii="仿宋_GB2312" w:hAnsi="仿宋_GB2312" w:eastAsia="仿宋_GB2312" w:cs="仿宋_GB2312"/>
          <w:b/>
          <w:bCs w:val="0"/>
          <w:sz w:val="24"/>
          <w:szCs w:val="24"/>
          <w:highlight w:val="none"/>
          <w:lang w:val="en-US" w:eastAsia="zh-CN"/>
        </w:rPr>
      </w:pPr>
      <w:r>
        <w:rPr>
          <w:rFonts w:hint="eastAsia" w:ascii="仿宋_GB2312" w:hAnsi="仿宋_GB2312" w:eastAsia="仿宋_GB2312" w:cs="仿宋_GB2312"/>
          <w:b/>
          <w:bCs w:val="0"/>
          <w:sz w:val="24"/>
          <w:szCs w:val="24"/>
          <w:highlight w:val="none"/>
          <w:lang w:val="en-US" w:eastAsia="zh-CN"/>
        </w:rPr>
        <w:t>2.知识要求</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color w:val="000000"/>
          <w:kern w:val="0"/>
          <w:sz w:val="24"/>
          <w:szCs w:val="24"/>
          <w:lang w:eastAsia="zh-CN"/>
        </w:rPr>
        <w:t>具有从事技术技能工作必备的人文和科学技术知识，能够将思想、知识、方法应用于解决营销实际问题，能够在工作中承担个体、团队成员角色；具有安全、健康、环保理念，良好的质量服务意识、应对危机能力和初步的涉外工作能力。</w:t>
      </w:r>
      <w:r>
        <w:rPr>
          <w:rFonts w:hint="default" w:ascii="仿宋_GB2312" w:hAnsi="仿宋_GB2312" w:eastAsia="仿宋_GB2312" w:cs="仿宋_GB2312"/>
          <w:b w:val="0"/>
          <w:bCs/>
          <w:color w:val="000000"/>
          <w:kern w:val="0"/>
          <w:sz w:val="24"/>
          <w:szCs w:val="24"/>
          <w:lang w:eastAsia="zh-CN"/>
        </w:rPr>
        <w:t xml:space="preserve"> </w:t>
      </w:r>
    </w:p>
    <w:p>
      <w:pPr>
        <w:pageBreakBefore w:val="0"/>
        <w:widowControl w:val="0"/>
        <w:kinsoku/>
        <w:wordWrap/>
        <w:overflowPunct/>
        <w:topLinePunct w:val="0"/>
        <w:autoSpaceDE/>
        <w:autoSpaceDN/>
        <w:bidi w:val="0"/>
        <w:adjustRightInd/>
        <w:snapToGrid/>
        <w:spacing w:line="500" w:lineRule="exact"/>
        <w:ind w:firstLine="482" w:firstLineChars="200"/>
        <w:textAlignment w:val="auto"/>
        <w:rPr>
          <w:rFonts w:hint="eastAsia" w:ascii="仿宋_GB2312" w:hAnsi="仿宋_GB2312" w:eastAsia="仿宋_GB2312" w:cs="仿宋_GB2312"/>
          <w:b/>
          <w:bCs w:val="0"/>
          <w:sz w:val="24"/>
          <w:szCs w:val="24"/>
          <w:highlight w:val="none"/>
          <w:lang w:val="en-US" w:eastAsia="zh-CN"/>
        </w:rPr>
      </w:pPr>
      <w:r>
        <w:rPr>
          <w:rFonts w:hint="eastAsia" w:ascii="仿宋_GB2312" w:hAnsi="仿宋_GB2312" w:eastAsia="仿宋_GB2312" w:cs="仿宋_GB2312"/>
          <w:b/>
          <w:bCs w:val="0"/>
          <w:sz w:val="24"/>
          <w:szCs w:val="24"/>
          <w:highlight w:val="none"/>
          <w:lang w:val="en-US" w:eastAsia="zh-CN"/>
        </w:rPr>
        <w:t>3.能力要求</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val="0"/>
          <w:bCs/>
          <w:color w:val="000000"/>
          <w:kern w:val="0"/>
          <w:sz w:val="24"/>
          <w:szCs w:val="24"/>
          <w:lang w:eastAsia="zh-CN"/>
        </w:rPr>
        <w:t>具有社会责任感和职业精神，能够在企业营销活动实践中理解并遵守职业道德和规范，履行责任。具有具有一定的数据分析、市场调研、营销策划等方面的技能，具有分析解决营销实际问题的能力。具有创新创业知识、创新创业思维、创新创业精神，岗位创业能力和自主创业意识，具有自主学习、终身学习意识、适应发展的能力。具有健康的身体和良好的心理状态，具有正确的审美观和高雅的鉴赏力，能够积极主动乐观工作。</w:t>
      </w:r>
    </w:p>
    <w:p>
      <w:pPr>
        <w:rPr>
          <w:rFonts w:ascii="黑体" w:hAnsi="黑体" w:eastAsia="黑体"/>
          <w:sz w:val="24"/>
          <w:szCs w:val="24"/>
          <w:highlight w:val="none"/>
        </w:rPr>
      </w:pPr>
      <w:r>
        <w:rPr>
          <w:rFonts w:hint="eastAsia" w:ascii="黑体" w:hAnsi="黑体" w:eastAsia="黑体"/>
          <w:sz w:val="24"/>
          <w:szCs w:val="24"/>
          <w:highlight w:val="none"/>
          <w:lang w:val="en-US" w:eastAsia="zh-CN"/>
        </w:rPr>
        <w:br w:type="page"/>
      </w: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lang w:val="en-US" w:eastAsia="zh-CN"/>
        </w:rPr>
        <w:t>课程设置</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课程设置分为</w:t>
      </w:r>
      <w:r>
        <w:rPr>
          <w:rFonts w:hint="eastAsia" w:ascii="仿宋_GB2312" w:hAnsi="仿宋_GB2312" w:eastAsia="仿宋_GB2312" w:cs="仿宋_GB2312"/>
          <w:sz w:val="24"/>
          <w:szCs w:val="24"/>
          <w:highlight w:val="none"/>
          <w:lang w:val="en-US" w:eastAsia="zh-CN"/>
        </w:rPr>
        <w:t>通识教育课程、学科基础课程</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专业课</w:t>
      </w:r>
      <w:r>
        <w:rPr>
          <w:rFonts w:hint="eastAsia" w:ascii="仿宋_GB2312" w:hAnsi="仿宋_GB2312" w:eastAsia="仿宋_GB2312" w:cs="仿宋_GB2312"/>
          <w:sz w:val="24"/>
          <w:szCs w:val="24"/>
          <w:highlight w:val="none"/>
          <w:lang w:val="en-US" w:eastAsia="zh-CN"/>
        </w:rPr>
        <w:t>程三</w:t>
      </w:r>
      <w:r>
        <w:rPr>
          <w:rFonts w:hint="eastAsia" w:ascii="仿宋_GB2312" w:hAnsi="仿宋_GB2312" w:eastAsia="仿宋_GB2312" w:cs="仿宋_GB2312"/>
          <w:sz w:val="24"/>
          <w:szCs w:val="24"/>
          <w:highlight w:val="none"/>
        </w:rPr>
        <w:t>类。</w:t>
      </w:r>
    </w:p>
    <w:p>
      <w:pPr>
        <w:pStyle w:val="2"/>
        <w:pageBreakBefore w:val="0"/>
        <w:widowControl w:val="0"/>
        <w:numPr>
          <w:ilvl w:val="0"/>
          <w:numId w:val="0"/>
        </w:numPr>
        <w:kinsoku/>
        <w:wordWrap/>
        <w:overflowPunct/>
        <w:topLinePunct w:val="0"/>
        <w:autoSpaceDE/>
        <w:autoSpaceDN/>
        <w:bidi w:val="0"/>
        <w:adjustRightInd/>
        <w:snapToGrid/>
        <w:spacing w:line="500" w:lineRule="exact"/>
        <w:jc w:val="center"/>
        <w:textAlignment w:val="auto"/>
        <w:rPr>
          <w:rFonts w:hint="eastAsia" w:ascii="黑体" w:hAnsi="黑体" w:eastAsia="黑体" w:cs="黑体"/>
          <w:b/>
          <w:bCs/>
          <w:sz w:val="24"/>
          <w:szCs w:val="24"/>
          <w:lang w:val="en-US" w:eastAsia="zh-CN"/>
        </w:rPr>
      </w:pPr>
      <w:r>
        <w:rPr>
          <w:rFonts w:hint="eastAsia" w:ascii="黑体" w:hAnsi="黑体" w:eastAsia="黑体" w:cs="黑体"/>
          <w:b/>
          <w:bCs/>
          <w:sz w:val="24"/>
          <w:szCs w:val="24"/>
          <w:lang w:val="en-US" w:eastAsia="zh-CN"/>
        </w:rPr>
        <w:t>表一：通识教育课程设置一览表</w:t>
      </w:r>
    </w:p>
    <w:tbl>
      <w:tblPr>
        <w:tblStyle w:val="14"/>
        <w:tblW w:w="491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1"/>
        <w:gridCol w:w="1817"/>
        <w:gridCol w:w="71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序号</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课程名称</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1</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思想道德与法治</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eastAsia="zh-CN" w:bidi="ar"/>
              </w:rPr>
            </w:pPr>
            <w:r>
              <w:rPr>
                <w:rFonts w:hint="eastAsia" w:ascii="仿宋_GB2312" w:hAnsi="仿宋_GB2312" w:eastAsia="仿宋_GB2312" w:cs="仿宋_GB2312"/>
                <w:color w:val="000000"/>
                <w:kern w:val="0"/>
                <w:sz w:val="21"/>
                <w:szCs w:val="21"/>
                <w:highlight w:val="none"/>
                <w:lang w:bidi="ar"/>
              </w:rPr>
              <w:t>本课程主要目的是针对大学生成长过程中面临的思想道德和法律问题，开展马克思主义的世界观、人生观、价值观、道德观、法治观教育，来引导大学生提高思想道德素质和法治素养，成长为自觉担当民族复兴大任的时代新人</w:t>
            </w:r>
            <w:r>
              <w:rPr>
                <w:rFonts w:hint="eastAsia" w:ascii="仿宋_GB2312" w:hAnsi="仿宋_GB2312" w:eastAsia="仿宋_GB2312" w:cs="仿宋_GB2312"/>
                <w:color w:val="000000"/>
                <w:kern w:val="0"/>
                <w:sz w:val="21"/>
                <w:szCs w:val="21"/>
                <w:highlight w:val="none"/>
                <w:lang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2</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kern w:val="0"/>
                <w:sz w:val="21"/>
                <w:szCs w:val="21"/>
                <w:highlight w:val="none"/>
                <w:lang w:bidi="ar"/>
              </w:rPr>
              <w:t>中国近代史纲要</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rPr>
            </w:pPr>
            <w:r>
              <w:rPr>
                <w:rFonts w:hint="default" w:ascii="仿宋_GB2312" w:hAnsi="仿宋_GB2312" w:eastAsia="仿宋_GB2312" w:cs="仿宋_GB2312"/>
                <w:color w:val="000000"/>
                <w:kern w:val="0"/>
                <w:sz w:val="21"/>
                <w:szCs w:val="21"/>
                <w:highlight w:val="none"/>
                <w:lang w:bidi="ar"/>
              </w:rPr>
              <w:t>本课程</w:t>
            </w:r>
            <w:r>
              <w:rPr>
                <w:rFonts w:hint="eastAsia" w:ascii="仿宋_GB2312" w:hAnsi="仿宋_GB2312" w:eastAsia="仿宋_GB2312" w:cs="仿宋_GB2312"/>
                <w:color w:val="000000"/>
                <w:kern w:val="0"/>
                <w:sz w:val="21"/>
                <w:szCs w:val="21"/>
                <w:highlight w:val="none"/>
                <w:lang w:bidi="ar"/>
              </w:rPr>
              <w:t>是全国高等学校本科生必修的一门思想政治理论课，主要讲授近现代中国社会发展和革命、建设、改革的历史进程，总结其内在规律性，引导大学生了解国情、国史，深刻领会历史和人民怎样选择了马克思主义，选择了中国共产党，选择了社会主义道路，选择了改革开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401"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3</w:t>
            </w: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形势与政策Ⅰ</w:t>
            </w:r>
          </w:p>
        </w:tc>
        <w:tc>
          <w:tcPr>
            <w:tcW w:w="3665"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val="en-US" w:eastAsia="zh-CN" w:bidi="ar"/>
              </w:rPr>
              <w:t>课程</w:t>
            </w:r>
            <w:r>
              <w:rPr>
                <w:rFonts w:hint="eastAsia" w:ascii="仿宋_GB2312" w:hAnsi="仿宋_GB2312" w:eastAsia="仿宋_GB2312" w:cs="仿宋_GB2312"/>
                <w:color w:val="000000"/>
                <w:kern w:val="0"/>
                <w:sz w:val="21"/>
                <w:szCs w:val="21"/>
                <w:highlight w:val="none"/>
                <w:lang w:bidi="ar"/>
              </w:rPr>
              <w:t>通过开展党和国家重大方针政策、重大活动和重大改革措施教育，开展我国改革开放和社会主义现代化建设的形势、任务和发展成就教育，开展当前国际形势与国际关系的状况、发展趋势和我国的对外政策教育，引导大学生遵循正确的观点和科学的方法分析判断形势，全面准确地理解党的路线、方针和政策，不断提高大学生认识把握形势的能力，进而坚定大学生走中国特色社会主义道路的理想信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401"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pP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形势与政策Ⅱ</w:t>
            </w:r>
          </w:p>
        </w:tc>
        <w:tc>
          <w:tcPr>
            <w:tcW w:w="3665"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401"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形势与政策Ⅲ</w:t>
            </w:r>
          </w:p>
        </w:tc>
        <w:tc>
          <w:tcPr>
            <w:tcW w:w="3665"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401"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形势与政策Ⅳ</w:t>
            </w:r>
          </w:p>
        </w:tc>
        <w:tc>
          <w:tcPr>
            <w:tcW w:w="3665"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4</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kern w:val="0"/>
                <w:sz w:val="21"/>
                <w:szCs w:val="21"/>
                <w:highlight w:val="none"/>
                <w:lang w:val="en-US" w:eastAsia="zh-CN" w:bidi="ar"/>
              </w:rPr>
              <w:t>马克思主义基本原理概论</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rPr>
            </w:pPr>
            <w:r>
              <w:rPr>
                <w:rFonts w:hint="default" w:ascii="仿宋_GB2312" w:hAnsi="仿宋_GB2312" w:eastAsia="仿宋_GB2312" w:cs="仿宋_GB2312"/>
                <w:color w:val="000000"/>
                <w:kern w:val="0"/>
                <w:sz w:val="21"/>
                <w:szCs w:val="21"/>
                <w:highlight w:val="none"/>
                <w:lang w:bidi="ar"/>
              </w:rPr>
              <w:t>本课程</w:t>
            </w:r>
            <w:r>
              <w:rPr>
                <w:rFonts w:hint="eastAsia" w:ascii="仿宋_GB2312" w:hAnsi="仿宋_GB2312" w:eastAsia="仿宋_GB2312" w:cs="仿宋_GB2312"/>
                <w:color w:val="000000"/>
                <w:kern w:val="0"/>
                <w:sz w:val="21"/>
                <w:szCs w:val="21"/>
                <w:highlight w:val="none"/>
                <w:lang w:bidi="ar"/>
              </w:rPr>
              <w:t>作为高校思想政治理论课程体系的主干课程，是一门系统讲授马克思主义基本理论的课程，涵盖了包括马克思主义哲学、政治经济学和科学社会主义三个重要组成部分在内的全部重要内容。该课程是对大学生进行远大的理想信念教育及正确的世界观、人生观、价值观教育的主渠道，它肩负着培养什么人、怎样培养人、为谁培养人的重要使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5</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kern w:val="0"/>
                <w:sz w:val="21"/>
                <w:szCs w:val="21"/>
                <w:highlight w:val="none"/>
                <w:lang w:bidi="ar"/>
              </w:rPr>
              <w:t>毛泽东思想</w:t>
            </w:r>
            <w:r>
              <w:rPr>
                <w:rFonts w:hint="default" w:ascii="仿宋_GB2312" w:hAnsi="仿宋_GB2312" w:eastAsia="仿宋_GB2312" w:cs="仿宋_GB2312"/>
                <w:color w:val="000000"/>
                <w:kern w:val="0"/>
                <w:sz w:val="21"/>
                <w:szCs w:val="21"/>
                <w:highlight w:val="none"/>
                <w:lang w:bidi="ar"/>
              </w:rPr>
              <w:t>和</w:t>
            </w:r>
            <w:r>
              <w:rPr>
                <w:rFonts w:hint="eastAsia" w:ascii="仿宋_GB2312" w:hAnsi="仿宋_GB2312" w:eastAsia="仿宋_GB2312" w:cs="仿宋_GB2312"/>
                <w:color w:val="000000"/>
                <w:kern w:val="0"/>
                <w:sz w:val="21"/>
                <w:szCs w:val="21"/>
                <w:highlight w:val="none"/>
                <w:lang w:bidi="ar"/>
              </w:rPr>
              <w:t>中国特色社会主义理论体系概论</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rPr>
            </w:pPr>
            <w:r>
              <w:rPr>
                <w:rFonts w:hint="default" w:ascii="仿宋_GB2312" w:hAnsi="仿宋_GB2312" w:eastAsia="仿宋_GB2312" w:cs="仿宋_GB2312"/>
                <w:color w:val="000000"/>
                <w:kern w:val="0"/>
                <w:sz w:val="21"/>
                <w:szCs w:val="21"/>
                <w:highlight w:val="none"/>
                <w:lang w:bidi="ar"/>
              </w:rPr>
              <w:t>本课程</w:t>
            </w:r>
            <w:r>
              <w:rPr>
                <w:rFonts w:hint="eastAsia" w:ascii="仿宋_GB2312" w:hAnsi="仿宋_GB2312" w:eastAsia="仿宋_GB2312" w:cs="仿宋_GB2312"/>
                <w:color w:val="000000"/>
                <w:kern w:val="0"/>
                <w:sz w:val="21"/>
                <w:szCs w:val="21"/>
                <w:highlight w:val="none"/>
                <w:lang w:bidi="ar"/>
              </w:rPr>
              <w:t>着重讲述马克思主义中国化的重大理论成果的形成、发展及其理论价值与实践价值的重要思想政治理论课。是大学生学习和掌握中国化马克思主义重要理论成果及其价值的主渠道。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6</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习近平新时代中国特色社会主义思想概论</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00" w:firstLineChars="20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szCs w:val="21"/>
                <w:lang w:val="en-US" w:eastAsia="zh-CN"/>
              </w:rPr>
              <w:t>本</w:t>
            </w:r>
            <w:r>
              <w:rPr>
                <w:rFonts w:hint="eastAsia" w:ascii="仿宋_GB2312" w:hAnsi="仿宋_GB2312" w:eastAsia="仿宋_GB2312" w:cs="仿宋_GB2312"/>
                <w:szCs w:val="21"/>
              </w:rPr>
              <w:t>课程</w:t>
            </w:r>
            <w:r>
              <w:rPr>
                <w:rFonts w:hint="eastAsia" w:ascii="仿宋_GB2312" w:hAnsi="仿宋_GB2312" w:eastAsia="仿宋_GB2312" w:cs="仿宋_GB2312"/>
                <w:szCs w:val="21"/>
                <w:lang w:val="en-US" w:eastAsia="zh-CN"/>
              </w:rPr>
              <w:t>旨</w:t>
            </w:r>
            <w:r>
              <w:rPr>
                <w:rFonts w:hint="eastAsia" w:ascii="仿宋_GB2312" w:hAnsi="仿宋_GB2312" w:eastAsia="仿宋_GB2312" w:cs="仿宋_GB2312"/>
                <w:szCs w:val="21"/>
              </w:rPr>
              <w:t>帮助学生深入学习领会习近平新时代中国特色社会主义思想的核心要义、精神实质、丰富内涵、实践要求的理解与掌握程度，提高学生运用所学知识、基本原理去分析与解决问题的能力，加深对中国新时代中国特色社会主义建设实践的认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7</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党史</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本课程</w:t>
            </w:r>
            <w:r>
              <w:rPr>
                <w:rFonts w:hint="eastAsia" w:ascii="仿宋_GB2312" w:hAnsi="仿宋_GB2312" w:eastAsia="仿宋_GB2312" w:cs="仿宋_GB2312"/>
                <w:color w:val="000000"/>
                <w:kern w:val="0"/>
                <w:sz w:val="21"/>
                <w:szCs w:val="21"/>
                <w:highlight w:val="none"/>
                <w:lang w:bidi="ar"/>
              </w:rPr>
              <w:t>充分吸收党史研究最新成果，以史论结合的形式，重点叙述和评价重大历史事件和重要历史人物、重大方针政策和重要战略部署、重大理论创新成果及其发展历程；深入阐释中国共产党为什么“能”、马克思主义为什么“行”、中国特色社会主义为什么“好”的道理；着力弘扬中国共产党人的崇高革命精神和风范；深刻解读历史性变革中蕴藏的内在逻辑，历史性成就背后的道路、理论、制度、文化优势，文风朴实、通俗易懂，是全党特别是基层党员干部学习党的历史的重要读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8</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新中国史</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val="en-US" w:eastAsia="zh-CN" w:bidi="ar"/>
              </w:rPr>
              <w:t>本课程讲述了中国共产党团结带领全国各族人民在经济、政治、文化、社会、生态文明建设以及国防和军队、“一国两制”和祖国统一、外交、党的建设等各方面取得的伟大成就和宝贵经验，突出展示了党的十八大以来，在以习近平同志为核心的党中央坚强领导下，中国实现了第一个百年奋斗目标，在中华大地上全面建成了小康社会，历史性地解决了绝对贫困问题，各项事业取得了历史性成就、发生了历史性变革，正在向着全面建成社会主义现代化强国的第二个百年奋斗目标、实现中华民族伟大复兴的中国梦迈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9</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改革开放史</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val="en-US" w:eastAsia="zh-CN" w:bidi="ar"/>
              </w:rPr>
              <w:t>本课程</w:t>
            </w:r>
            <w:r>
              <w:rPr>
                <w:rFonts w:hint="eastAsia" w:ascii="仿宋_GB2312" w:hAnsi="仿宋_GB2312" w:eastAsia="仿宋_GB2312" w:cs="仿宋_GB2312"/>
                <w:color w:val="000000"/>
                <w:kern w:val="0"/>
                <w:sz w:val="21"/>
                <w:szCs w:val="21"/>
                <w:highlight w:val="none"/>
                <w:lang w:bidi="ar"/>
              </w:rPr>
              <w:t>坚持以习近平新时代中国特色社会主义思想为指导，全面贯彻习近平总书记关于党史、新中国史、改革开放史、社会主义发展史的重要论述，充分体现习近平总书记在庆祝中国共产党成立100周年大会上的重要讲话精神，以我们党关于历史问题的两个决议和党中央有关精神为依据，准确、深刻、简明地阐述了中华人民共和国70多年砥砺奋斗史，我国改革开放40多年壮阔实践史、社会主义500多年探索发展史，对于帮助</w:t>
            </w:r>
            <w:r>
              <w:rPr>
                <w:rFonts w:hint="eastAsia" w:ascii="仿宋_GB2312" w:hAnsi="仿宋_GB2312" w:eastAsia="仿宋_GB2312" w:cs="仿宋_GB2312"/>
                <w:color w:val="000000"/>
                <w:kern w:val="0"/>
                <w:sz w:val="21"/>
                <w:szCs w:val="21"/>
                <w:highlight w:val="none"/>
                <w:lang w:val="en-US" w:eastAsia="zh-CN" w:bidi="ar"/>
              </w:rPr>
              <w:t>学生</w:t>
            </w:r>
            <w:r>
              <w:rPr>
                <w:rFonts w:hint="eastAsia" w:ascii="仿宋_GB2312" w:hAnsi="仿宋_GB2312" w:eastAsia="仿宋_GB2312" w:cs="仿宋_GB2312"/>
                <w:color w:val="000000"/>
                <w:kern w:val="0"/>
                <w:sz w:val="21"/>
                <w:szCs w:val="21"/>
                <w:highlight w:val="none"/>
                <w:lang w:bidi="ar"/>
              </w:rPr>
              <w:t>学习理解历史、树立正确历史观，更加自觉地坚持以史为鉴、开创未来具有重要意义。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10</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社会主义发展史</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本课程</w:t>
            </w:r>
            <w:r>
              <w:rPr>
                <w:rFonts w:hint="eastAsia" w:ascii="仿宋_GB2312" w:hAnsi="仿宋_GB2312" w:eastAsia="仿宋_GB2312" w:cs="仿宋_GB2312"/>
                <w:color w:val="000000"/>
                <w:kern w:val="0"/>
                <w:sz w:val="21"/>
                <w:szCs w:val="21"/>
                <w:highlight w:val="none"/>
                <w:lang w:bidi="ar"/>
              </w:rPr>
              <w:t>从空想社会主义的产生和发展、科学社会主义的创立及其实践、世界社会主义的曲折与奋起、中国特色社会主义开辟社会主义新纪元、中国特色社会主义进入新时代等方面准确、深刻、简明地阐述了社会主义500多年探索发展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11</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心理健康</w:t>
            </w:r>
          </w:p>
        </w:tc>
        <w:tc>
          <w:tcPr>
            <w:tcW w:w="3665" w:type="pct"/>
            <w:vAlign w:val="center"/>
          </w:tcPr>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right="0" w:firstLine="420" w:firstLineChars="20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本课程旨在使学生明确心理健康的标准及意义，增强自我心理保健意识和心理危机预防意识，掌握并应用心理健康知识，培养自我认知能力，人际沟通能力、自我调节能力，切实提高心理素质，促进学生全面发展。通过课程教学，使学生在知识、能力、素质三个方面达到以上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12</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kern w:val="0"/>
                <w:sz w:val="21"/>
                <w:szCs w:val="21"/>
                <w:highlight w:val="none"/>
                <w:vertAlign w:val="baseline"/>
                <w:lang w:val="en-US" w:eastAsia="zh-CN" w:bidi="ar-SA"/>
              </w:rPr>
            </w:pPr>
            <w:r>
              <w:rPr>
                <w:rFonts w:hint="eastAsia" w:ascii="仿宋_GB2312" w:hAnsi="仿宋_GB2312" w:eastAsia="仿宋_GB2312" w:cs="仿宋_GB2312"/>
                <w:color w:val="000000"/>
                <w:kern w:val="0"/>
                <w:sz w:val="21"/>
                <w:szCs w:val="21"/>
                <w:highlight w:val="none"/>
                <w:lang w:bidi="ar"/>
              </w:rPr>
              <w:t>计算机应用基础</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kern w:val="0"/>
                <w:sz w:val="21"/>
                <w:szCs w:val="21"/>
                <w:highlight w:val="none"/>
                <w:vertAlign w:val="baseline"/>
                <w:lang w:val="en-US" w:eastAsia="zh-CN" w:bidi="ar-SA"/>
              </w:rPr>
            </w:pPr>
            <w:r>
              <w:rPr>
                <w:rFonts w:hint="eastAsia" w:ascii="仿宋_GB2312" w:hAnsi="仿宋_GB2312" w:eastAsia="仿宋_GB2312" w:cs="仿宋_GB2312"/>
                <w:color w:val="000000"/>
                <w:kern w:val="0"/>
                <w:sz w:val="21"/>
                <w:szCs w:val="21"/>
                <w:highlight w:val="none"/>
                <w:lang w:bidi="ar"/>
              </w:rPr>
              <w:t>本课程是培养学生计算机应用的能力，提高学生的信息素养，为后继的计算机课程和专业课程的学习打下必备的计算机基础知识和技能。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401"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13</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大学英语Ⅰ</w:t>
            </w:r>
          </w:p>
        </w:tc>
        <w:tc>
          <w:tcPr>
            <w:tcW w:w="3665"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该课程属基本素质课，旨在让学生熟悉掌握日常生活中经常使用的英语基础知识与书面用语，具备一定的英语思维习惯，能够进行基本的日常交际会话；在加强英语语言基础知识和基本技能的同时，了解职场语言文化知识和通用的职场沟通技能，以交际为目的，培养学生的社会适应性、提高其自主学习能力、就业能力，满足学生初入职场的实际需求，为将来的就业工作做好充分准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401" w:type="pct"/>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pP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大学英语Ⅱ</w:t>
            </w:r>
          </w:p>
        </w:tc>
        <w:tc>
          <w:tcPr>
            <w:tcW w:w="3665" w:type="pct"/>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p>
        </w:tc>
      </w:tr>
    </w:tbl>
    <w:p>
      <w:pPr>
        <w:rPr>
          <w:rFonts w:hint="eastAsia" w:ascii="黑体" w:hAnsi="黑体" w:eastAsia="黑体" w:cs="黑体"/>
          <w:b/>
          <w:bCs/>
          <w:sz w:val="24"/>
          <w:szCs w:val="24"/>
          <w:lang w:val="en-US" w:eastAsia="zh-CN"/>
        </w:rPr>
      </w:pPr>
      <w:r>
        <w:rPr>
          <w:rFonts w:hint="eastAsia" w:ascii="黑体" w:hAnsi="黑体" w:eastAsia="黑体" w:cs="黑体"/>
          <w:b/>
          <w:bCs/>
          <w:sz w:val="24"/>
          <w:szCs w:val="24"/>
          <w:lang w:val="en-US" w:eastAsia="zh-CN"/>
        </w:rPr>
        <w:br w:type="page"/>
      </w:r>
    </w:p>
    <w:p>
      <w:pPr>
        <w:pStyle w:val="2"/>
        <w:pageBreakBefore w:val="0"/>
        <w:widowControl w:val="0"/>
        <w:numPr>
          <w:ilvl w:val="0"/>
          <w:numId w:val="0"/>
        </w:numPr>
        <w:kinsoku/>
        <w:wordWrap/>
        <w:overflowPunct/>
        <w:topLinePunct w:val="0"/>
        <w:autoSpaceDE/>
        <w:autoSpaceDN/>
        <w:bidi w:val="0"/>
        <w:adjustRightInd/>
        <w:snapToGrid/>
        <w:spacing w:line="500" w:lineRule="exact"/>
        <w:jc w:val="center"/>
        <w:textAlignment w:val="auto"/>
        <w:rPr>
          <w:rFonts w:hint="default" w:eastAsia="仿宋_GB2312"/>
          <w:b/>
          <w:bCs/>
          <w:sz w:val="24"/>
          <w:szCs w:val="24"/>
          <w:lang w:val="en-US" w:eastAsia="zh-CN"/>
        </w:rPr>
      </w:pPr>
      <w:r>
        <w:rPr>
          <w:rFonts w:hint="eastAsia" w:ascii="黑体" w:hAnsi="黑体" w:eastAsia="黑体" w:cs="黑体"/>
          <w:b/>
          <w:bCs/>
          <w:sz w:val="24"/>
          <w:szCs w:val="24"/>
          <w:lang w:val="en-US" w:eastAsia="zh-CN"/>
        </w:rPr>
        <w:t>表二：学科基础课程设置一览表</w:t>
      </w:r>
    </w:p>
    <w:tbl>
      <w:tblPr>
        <w:tblStyle w:val="14"/>
        <w:tblW w:w="491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9"/>
        <w:gridCol w:w="1816"/>
        <w:gridCol w:w="71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序号</w:t>
            </w:r>
          </w:p>
        </w:tc>
        <w:tc>
          <w:tcPr>
            <w:tcW w:w="93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课程名称</w:t>
            </w:r>
          </w:p>
        </w:tc>
        <w:tc>
          <w:tcPr>
            <w:tcW w:w="366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1</w:t>
            </w:r>
          </w:p>
        </w:tc>
        <w:tc>
          <w:tcPr>
            <w:tcW w:w="932"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i w:val="0"/>
                <w:iCs w:val="0"/>
                <w:color w:val="auto"/>
                <w:kern w:val="0"/>
                <w:sz w:val="21"/>
                <w:szCs w:val="21"/>
                <w:u w:val="none"/>
                <w:lang w:val="en-US" w:eastAsia="zh-CN" w:bidi="ar"/>
              </w:rPr>
              <w:t>管理学</w:t>
            </w:r>
          </w:p>
        </w:tc>
        <w:tc>
          <w:tcPr>
            <w:tcW w:w="3661"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ascii="仿宋_GB2312" w:hAnsi="仿宋_GB2312" w:eastAsia="仿宋_GB2312" w:cs="仿宋_GB2312"/>
                <w:color w:val="000000"/>
                <w:kern w:val="0"/>
                <w:sz w:val="21"/>
                <w:szCs w:val="21"/>
                <w:highlight w:val="none"/>
                <w:lang w:eastAsia="zh-CN" w:bidi="ar"/>
              </w:rPr>
            </w:pPr>
            <w:r>
              <w:rPr>
                <w:rFonts w:hint="eastAsia" w:ascii="仿宋_GB2312" w:hAnsi="仿宋_GB2312" w:eastAsia="仿宋_GB2312" w:cs="仿宋_GB2312"/>
                <w:b w:val="0"/>
                <w:bCs w:val="0"/>
                <w:color w:val="auto"/>
                <w:kern w:val="2"/>
                <w:sz w:val="21"/>
                <w:szCs w:val="21"/>
                <w:lang w:val="en-US" w:eastAsia="zh-CN" w:bidi="ar-SA"/>
              </w:rPr>
              <w:t>本课程的目的在于帮助学生掌握组织管理工作的基本理论与思想，以及对组织实现科学管理的基本途径；培养学生具备能从管理者的视野分析、思考和解决企业以及其他各类组织健康和成功运行的基本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2</w:t>
            </w:r>
          </w:p>
        </w:tc>
        <w:tc>
          <w:tcPr>
            <w:tcW w:w="932"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i w:val="0"/>
                <w:iCs w:val="0"/>
                <w:color w:val="auto"/>
                <w:kern w:val="0"/>
                <w:sz w:val="21"/>
                <w:szCs w:val="21"/>
                <w:u w:val="none"/>
                <w:lang w:val="en-US" w:eastAsia="zh-CN" w:bidi="ar"/>
              </w:rPr>
              <w:t>微观经济学</w:t>
            </w:r>
          </w:p>
        </w:tc>
        <w:tc>
          <w:tcPr>
            <w:tcW w:w="3661"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sz w:val="21"/>
                <w:szCs w:val="21"/>
                <w:highlight w:val="none"/>
                <w:vertAlign w:val="baseline"/>
                <w:lang w:val="en-US" w:eastAsia="zh-CN"/>
              </w:rPr>
              <w:t>本课程</w:t>
            </w:r>
            <w:r>
              <w:rPr>
                <w:rFonts w:hint="eastAsia" w:ascii="仿宋_GB2312" w:hAnsi="仿宋_GB2312" w:eastAsia="仿宋_GB2312" w:cs="仿宋_GB2312"/>
                <w:sz w:val="21"/>
                <w:szCs w:val="21"/>
                <w:highlight w:val="none"/>
                <w:vertAlign w:val="baseline"/>
              </w:rPr>
              <w:t>以价格理论为中心，研究企业、家庭和单个市场等微观供求行为与价格之间关系。学习内容包括供求的含义及均衡价格的形成、与消费相关的效用论、与生产相关的生产理论和成本理论、市场与厂商理论和市场与福利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3</w:t>
            </w:r>
          </w:p>
        </w:tc>
        <w:tc>
          <w:tcPr>
            <w:tcW w:w="932"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i w:val="0"/>
                <w:iCs w:val="0"/>
                <w:color w:val="auto"/>
                <w:kern w:val="0"/>
                <w:sz w:val="21"/>
                <w:szCs w:val="21"/>
                <w:u w:val="none"/>
                <w:lang w:val="en-US" w:eastAsia="zh-CN" w:bidi="ar"/>
              </w:rPr>
              <w:t>宏观经济学</w:t>
            </w:r>
          </w:p>
        </w:tc>
        <w:tc>
          <w:tcPr>
            <w:tcW w:w="3661" w:type="pct"/>
            <w:vAlign w:val="center"/>
          </w:tcPr>
          <w:p>
            <w:pPr>
              <w:pStyle w:val="25"/>
              <w:keepNext w:val="0"/>
              <w:keepLines w:val="0"/>
              <w:pageBreakBefore w:val="0"/>
              <w:kinsoku/>
              <w:wordWrap/>
              <w:overflowPunct/>
              <w:topLinePunct w:val="0"/>
              <w:autoSpaceDE/>
              <w:autoSpaceDN/>
              <w:bidi w:val="0"/>
              <w:adjustRightInd/>
              <w:snapToGrid/>
              <w:spacing w:line="400" w:lineRule="exact"/>
              <w:ind w:firstLine="420" w:firstLineChars="200"/>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lang w:val="en-US" w:eastAsia="zh-CN"/>
              </w:rPr>
              <w:t>本课程</w:t>
            </w:r>
            <w:r>
              <w:rPr>
                <w:rFonts w:hint="eastAsia" w:ascii="仿宋_GB2312" w:hAnsi="仿宋_GB2312" w:eastAsia="仿宋_GB2312" w:cs="仿宋_GB2312"/>
                <w:sz w:val="21"/>
                <w:szCs w:val="21"/>
                <w:highlight w:val="none"/>
                <w:vertAlign w:val="baseline"/>
              </w:rPr>
              <w:t>以收入理论为中心，研究一个国家整体经济运行及政府如何运用经济政策来影响经济。学习内容包括国民经济的循环流转、国内生产总值的概念及基本核算方法、均衡国民收入的决定与乘数论、宏观经济政策的政策工具及应用、失业、货膨胀的形成原因及抑制通货膨胀的经济政策、经济增长的一般规律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4</w:t>
            </w:r>
          </w:p>
        </w:tc>
        <w:tc>
          <w:tcPr>
            <w:tcW w:w="932"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i w:val="0"/>
                <w:iCs w:val="0"/>
                <w:color w:val="auto"/>
                <w:kern w:val="0"/>
                <w:sz w:val="21"/>
                <w:szCs w:val="21"/>
                <w:u w:val="none"/>
                <w:lang w:val="en-US" w:eastAsia="zh-CN" w:bidi="ar"/>
              </w:rPr>
              <w:t>市场营销学</w:t>
            </w:r>
          </w:p>
        </w:tc>
        <w:tc>
          <w:tcPr>
            <w:tcW w:w="3661"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b w:val="0"/>
                <w:bCs w:val="0"/>
                <w:color w:val="auto"/>
                <w:kern w:val="2"/>
                <w:sz w:val="21"/>
                <w:szCs w:val="21"/>
                <w:lang w:val="en-US" w:eastAsia="zh-CN" w:bidi="ar-SA"/>
              </w:rPr>
              <w:t>当代营销学的基本理论和营销管理决策的具体方法。其主要内容有：企业在全球化网络时代确立以顾客价值为核心的市场营销的经营观念；审视宏微观环境、发现市场机会的方法；营销调研的原理和方法；消费者和组织购买市场与行为；市场细分、目标市场的选择及市场覆盖战略的确定；竞争分析及品牌定位方法；产品、服务、定价、营销渠道和沟通等方面的策略设计和运作的基本概念和方法；以及市场营销思想在全球化和可持续发展理念下的拓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5</w:t>
            </w:r>
          </w:p>
        </w:tc>
        <w:tc>
          <w:tcPr>
            <w:tcW w:w="932"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i w:val="0"/>
                <w:iCs w:val="0"/>
                <w:color w:val="auto"/>
                <w:kern w:val="0"/>
                <w:sz w:val="21"/>
                <w:szCs w:val="21"/>
                <w:u w:val="none"/>
                <w:lang w:val="en-US" w:eastAsia="zh-CN" w:bidi="ar"/>
              </w:rPr>
              <w:t>统计学</w:t>
            </w:r>
          </w:p>
        </w:tc>
        <w:tc>
          <w:tcPr>
            <w:tcW w:w="3661"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b w:val="0"/>
                <w:bCs w:val="0"/>
                <w:color w:val="auto"/>
                <w:kern w:val="2"/>
                <w:sz w:val="21"/>
                <w:szCs w:val="21"/>
                <w:lang w:val="en-US" w:eastAsia="zh-CN" w:bidi="ar-SA"/>
              </w:rPr>
              <w:t>本课程首先对统计学的概念、学科性质进行讲述，并介绍统计学的发展简史和应用领域；其次介绍统计学的基本问题，包括数据的类型、统计学的常用术语、统计指标与统计指标体系、统计计算工具；再次介绍描述统计学的基本内容，包括统计资料的搜集与整理、统计表与统计图、集中趋势的描述、离中趋势的描述、分布偏态与峰度的测度、指数体系与因素分析、相关与回归分析、时间序列分析、统计综合评价等；接着介绍了推断统计学的基本内容，包括参数估计、假设检验、方差分析；最后对统计学基本理论与统计思想进行拓展学习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6</w:t>
            </w:r>
          </w:p>
        </w:tc>
        <w:tc>
          <w:tcPr>
            <w:tcW w:w="932"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i w:val="0"/>
                <w:iCs w:val="0"/>
                <w:color w:val="auto"/>
                <w:kern w:val="0"/>
                <w:sz w:val="21"/>
                <w:szCs w:val="21"/>
                <w:u w:val="none"/>
                <w:lang w:val="en-US" w:eastAsia="zh-CN" w:bidi="ar"/>
              </w:rPr>
              <w:t>会计学</w:t>
            </w:r>
          </w:p>
        </w:tc>
        <w:tc>
          <w:tcPr>
            <w:tcW w:w="3661"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b w:val="0"/>
                <w:bCs w:val="0"/>
                <w:kern w:val="0"/>
                <w:sz w:val="21"/>
                <w:szCs w:val="21"/>
                <w:lang w:val="en-US" w:eastAsia="zh-CN" w:bidi="ar-SA"/>
              </w:rPr>
              <w:t>课程重点介绍会计学的基本理论和方法，主要包括会计核算的前提和一般原则、会计核算方法体系、账户的设置与借贷记账法的应用、会计凭证的填制和会计报表的编制方法及其要求等。在此基础上，结合企业经济业务实际，概括说明资金筹集业务、资金循环与周转业务、财务成果形成与分配等业务的核算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7</w:t>
            </w:r>
          </w:p>
        </w:tc>
        <w:tc>
          <w:tcPr>
            <w:tcW w:w="932"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i w:val="0"/>
                <w:iCs w:val="0"/>
                <w:color w:val="auto"/>
                <w:kern w:val="0"/>
                <w:sz w:val="21"/>
                <w:szCs w:val="21"/>
                <w:u w:val="none"/>
                <w:lang w:val="en-US" w:eastAsia="zh-CN" w:bidi="ar"/>
              </w:rPr>
              <w:t>组织行为学</w:t>
            </w:r>
          </w:p>
        </w:tc>
        <w:tc>
          <w:tcPr>
            <w:tcW w:w="3661"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b w:val="0"/>
                <w:bCs w:val="0"/>
                <w:kern w:val="0"/>
                <w:sz w:val="21"/>
                <w:szCs w:val="21"/>
                <w:lang w:val="en-US" w:eastAsia="zh-CN" w:bidi="ar-SA"/>
              </w:rPr>
              <w:t>本课程侧重于如何帮助领导者理解激励组织中的人；有效地整合组织内部的资源；并成功地应对内外部环境变化。课程将围绕变动环境中组织管理面临的人员管理的问题而设计，启迪学员理解不确定环境下组织当中的个人和群体的行为特性及其管理。通过讨论主流组织行为学理论及前沿的学术和实践知识，让学员理解组织行为管理的一般性规律。同时，课程将结合中国社会和文化的现实，启发学员透视当代中国组织管理所具有的特殊性，促进学生思考中国人的心理与行为的特征对管理实践的要求。</w:t>
            </w:r>
          </w:p>
        </w:tc>
      </w:tr>
    </w:tbl>
    <w:p>
      <w:pPr>
        <w:pStyle w:val="2"/>
        <w:pageBreakBefore w:val="0"/>
        <w:widowControl w:val="0"/>
        <w:numPr>
          <w:ilvl w:val="0"/>
          <w:numId w:val="0"/>
        </w:numPr>
        <w:kinsoku/>
        <w:wordWrap/>
        <w:overflowPunct/>
        <w:topLinePunct w:val="0"/>
        <w:autoSpaceDE/>
        <w:autoSpaceDN/>
        <w:bidi w:val="0"/>
        <w:adjustRightInd/>
        <w:snapToGrid/>
        <w:spacing w:line="500" w:lineRule="exact"/>
        <w:textAlignment w:val="auto"/>
        <w:rPr>
          <w:rFonts w:hint="default" w:eastAsia="仿宋_GB2312"/>
          <w:sz w:val="24"/>
          <w:szCs w:val="24"/>
          <w:lang w:val="en-US" w:eastAsia="zh-CN"/>
        </w:rPr>
      </w:pPr>
    </w:p>
    <w:p>
      <w:pPr>
        <w:rPr>
          <w:rFonts w:hint="eastAsia" w:ascii="楷体_GB2312" w:hAnsi="楷体_GB2312" w:eastAsia="楷体_GB2312" w:cs="楷体_GB2312"/>
          <w:b/>
          <w:bCs/>
          <w:sz w:val="24"/>
          <w:szCs w:val="24"/>
          <w:lang w:val="en-US" w:eastAsia="zh-CN"/>
        </w:rPr>
      </w:pPr>
      <w:r>
        <w:rPr>
          <w:rFonts w:hint="eastAsia" w:ascii="楷体_GB2312" w:hAnsi="楷体_GB2312" w:eastAsia="楷体_GB2312" w:cs="楷体_GB2312"/>
          <w:b/>
          <w:bCs/>
          <w:sz w:val="24"/>
          <w:szCs w:val="24"/>
          <w:lang w:val="en-US" w:eastAsia="zh-CN"/>
        </w:rPr>
        <w:br w:type="page"/>
      </w:r>
    </w:p>
    <w:p>
      <w:pPr>
        <w:pStyle w:val="2"/>
        <w:pageBreakBefore w:val="0"/>
        <w:widowControl w:val="0"/>
        <w:numPr>
          <w:ilvl w:val="0"/>
          <w:numId w:val="0"/>
        </w:numPr>
        <w:kinsoku/>
        <w:wordWrap/>
        <w:overflowPunct/>
        <w:topLinePunct w:val="0"/>
        <w:autoSpaceDE/>
        <w:autoSpaceDN/>
        <w:bidi w:val="0"/>
        <w:adjustRightInd/>
        <w:snapToGrid/>
        <w:spacing w:line="500" w:lineRule="exact"/>
        <w:jc w:val="center"/>
        <w:textAlignment w:val="auto"/>
        <w:rPr>
          <w:rFonts w:hint="eastAsia" w:ascii="楷体_GB2312" w:hAnsi="楷体_GB2312" w:eastAsia="楷体_GB2312" w:cs="楷体_GB2312"/>
          <w:b/>
          <w:bCs/>
          <w:sz w:val="24"/>
          <w:szCs w:val="24"/>
          <w:lang w:val="en-US" w:eastAsia="zh-CN"/>
        </w:rPr>
      </w:pPr>
      <w:r>
        <w:rPr>
          <w:rFonts w:hint="eastAsia" w:ascii="黑体" w:hAnsi="黑体" w:eastAsia="黑体" w:cs="黑体"/>
          <w:b/>
          <w:bCs/>
          <w:sz w:val="24"/>
          <w:szCs w:val="24"/>
          <w:lang w:val="en-US" w:eastAsia="zh-CN"/>
        </w:rPr>
        <w:t>表三：专业课程设置一览表</w:t>
      </w:r>
    </w:p>
    <w:tbl>
      <w:tblPr>
        <w:tblStyle w:val="14"/>
        <w:tblW w:w="491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3"/>
        <w:gridCol w:w="1816"/>
        <w:gridCol w:w="71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39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序号</w:t>
            </w:r>
          </w:p>
        </w:tc>
        <w:tc>
          <w:tcPr>
            <w:tcW w:w="93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课程名称</w:t>
            </w:r>
          </w:p>
        </w:tc>
        <w:tc>
          <w:tcPr>
            <w:tcW w:w="366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1</w:t>
            </w:r>
          </w:p>
        </w:tc>
        <w:tc>
          <w:tcPr>
            <w:tcW w:w="93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kern w:val="0"/>
                <w:sz w:val="21"/>
                <w:szCs w:val="21"/>
                <w:highlight w:val="none"/>
                <w:vertAlign w:val="baseline"/>
                <w:lang w:val="en-US" w:eastAsia="zh-CN" w:bidi="ar-SA"/>
              </w:rPr>
              <w:t>营销渠道管理</w:t>
            </w:r>
          </w:p>
        </w:tc>
        <w:tc>
          <w:tcPr>
            <w:tcW w:w="3669"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ascii="仿宋_GB2312" w:hAnsi="仿宋_GB2312" w:eastAsia="仿宋_GB2312" w:cs="仿宋_GB2312"/>
                <w:color w:val="000000"/>
                <w:kern w:val="0"/>
                <w:sz w:val="21"/>
                <w:szCs w:val="21"/>
                <w:highlight w:val="none"/>
                <w:lang w:eastAsia="zh-CN" w:bidi="ar"/>
              </w:rPr>
            </w:pPr>
            <w:r>
              <w:rPr>
                <w:rFonts w:hint="eastAsia" w:ascii="仿宋_GB2312" w:hAnsi="仿宋_GB2312" w:eastAsia="仿宋_GB2312" w:cs="仿宋_GB2312"/>
                <w:b w:val="0"/>
                <w:bCs w:val="0"/>
                <w:color w:val="auto"/>
                <w:kern w:val="2"/>
                <w:sz w:val="21"/>
                <w:szCs w:val="21"/>
                <w:lang w:val="en-US" w:eastAsia="zh-CN" w:bidi="ar-SA"/>
              </w:rPr>
              <w:t>营销渠道管理课程系统地介绍渠道 的本质与基本内涵、渠道的功能与价值、渠道级数与基本类型、渠道策略及其厂商决 策依据；渠道资源、渠道依赖、渠道权力与渠道冲突管控；渠道成员的分类、识别与 关系决策；渠道组织系统设计与构建高效率的渠道系统；渠道管理体系规划；渠道绩 效考核、评价与评估重构，以及互联网背景下渠道前沿创新与变革等。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2</w:t>
            </w:r>
          </w:p>
        </w:tc>
        <w:tc>
          <w:tcPr>
            <w:tcW w:w="93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kern w:val="0"/>
                <w:sz w:val="21"/>
                <w:szCs w:val="21"/>
                <w:highlight w:val="none"/>
                <w:vertAlign w:val="baseline"/>
                <w:lang w:val="en-US" w:eastAsia="zh-CN" w:bidi="ar-SA"/>
              </w:rPr>
              <w:t>运营管理</w:t>
            </w:r>
          </w:p>
        </w:tc>
        <w:tc>
          <w:tcPr>
            <w:tcW w:w="3669"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b w:val="0"/>
                <w:bCs w:val="0"/>
                <w:color w:val="auto"/>
                <w:kern w:val="2"/>
                <w:sz w:val="21"/>
                <w:szCs w:val="21"/>
                <w:lang w:val="en-US" w:eastAsia="zh-CN" w:bidi="ar-SA"/>
              </w:rPr>
              <w:t>《运营管理》课程系统地介绍过程管理概念、过程、工具和技术，可以作为经济与管理类本科生的专业基础课，也可供管理类研究生和经理人学习。通过本课程，学员能够理解现代管理的思想，掌握运营过程、资源计划、组织、控制与改进的方法，把握现代运营管理的系统知识，增强分析和解决运营实际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3</w:t>
            </w:r>
          </w:p>
        </w:tc>
        <w:tc>
          <w:tcPr>
            <w:tcW w:w="93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kern w:val="0"/>
                <w:sz w:val="21"/>
                <w:szCs w:val="21"/>
                <w:highlight w:val="none"/>
                <w:vertAlign w:val="baseline"/>
                <w:lang w:val="en-US" w:eastAsia="zh-CN" w:bidi="ar-SA"/>
              </w:rPr>
              <w:t>市场调查与预测</w:t>
            </w:r>
          </w:p>
        </w:tc>
        <w:tc>
          <w:tcPr>
            <w:tcW w:w="3669"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市场调查与预测是一门应用科学，主要是系统介绍认识市场、研究市场的方法。 本课程的学习将本着理论联系实际的原则，按照市场调查项目的实际运作过程展开。 完成本课程的学习，学生将掌握市场调查与研究的基本流程、知识和方法，并且具备基本的数据收集、处理、分析和解释能力。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4</w:t>
            </w:r>
          </w:p>
        </w:tc>
        <w:tc>
          <w:tcPr>
            <w:tcW w:w="93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kern w:val="0"/>
                <w:sz w:val="21"/>
                <w:szCs w:val="21"/>
                <w:highlight w:val="none"/>
                <w:vertAlign w:val="baseline"/>
                <w:lang w:val="en-US" w:eastAsia="zh-CN" w:bidi="ar-SA"/>
              </w:rPr>
              <w:t>战略管理</w:t>
            </w:r>
          </w:p>
        </w:tc>
        <w:tc>
          <w:tcPr>
            <w:tcW w:w="3669" w:type="pct"/>
            <w:vAlign w:val="center"/>
          </w:tcPr>
          <w:p>
            <w:pPr>
              <w:keepNext w:val="0"/>
              <w:keepLines w:val="0"/>
              <w:pageBreakBefore w:val="0"/>
              <w:kinsoku/>
              <w:wordWrap/>
              <w:overflowPunct/>
              <w:topLinePunct w:val="0"/>
              <w:autoSpaceDE/>
              <w:autoSpaceDN/>
              <w:bidi w:val="0"/>
              <w:adjustRightInd/>
              <w:snapToGrid/>
              <w:spacing w:line="400" w:lineRule="exact"/>
              <w:ind w:firstLine="420" w:firstLineChars="200"/>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kern w:val="2"/>
                <w:sz w:val="21"/>
                <w:szCs w:val="21"/>
                <w:lang w:val="en-US" w:eastAsia="zh-CN" w:bidi="ar-SA"/>
              </w:rPr>
              <w:t>本课程是以管理学、企业管理学为基础，紧密联系并应用包括财务管理学、市场营销学、生产运作管理、信息系统管理、人力资源管理等专业知识，是一门综合性较强的专业必修课。 战略管理被称为工商管理专业的“顶石” 课程（Capstone course），重在培养战略思维及战略执行能力，使管理者能够站在更高的层面关注环境、审视企业，提升企业航船掌舵人的把握未来、驾驭整体的能力。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5</w:t>
            </w:r>
          </w:p>
        </w:tc>
        <w:tc>
          <w:tcPr>
            <w:tcW w:w="93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kern w:val="0"/>
                <w:sz w:val="21"/>
                <w:szCs w:val="21"/>
                <w:highlight w:val="none"/>
                <w:vertAlign w:val="baseline"/>
                <w:lang w:val="en-US" w:eastAsia="zh-CN" w:bidi="ar-SA"/>
              </w:rPr>
              <w:t>消费者行为学</w:t>
            </w:r>
          </w:p>
        </w:tc>
        <w:tc>
          <w:tcPr>
            <w:tcW w:w="3669" w:type="pct"/>
            <w:vAlign w:val="center"/>
          </w:tcPr>
          <w:p>
            <w:pPr>
              <w:keepNext w:val="0"/>
              <w:keepLines w:val="0"/>
              <w:pageBreakBefore w:val="0"/>
              <w:widowControl/>
              <w:kinsoku/>
              <w:wordWrap/>
              <w:overflowPunct/>
              <w:topLinePunct w:val="0"/>
              <w:autoSpaceDE/>
              <w:autoSpaceDN/>
              <w:bidi w:val="0"/>
              <w:adjustRightInd/>
              <w:snapToGrid/>
              <w:spacing w:line="400" w:lineRule="exact"/>
              <w:ind w:firstLine="420" w:firstLineChars="200"/>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本课程将为学生介绍消费行为学的发展沿革、研究意义、研究方法及研究内容，重点介绍消费者心理活动过程、个性心理特征等基本理论，分析消费者的学习、态度及消费者的决策过程、决策模式，重点介绍影响消费者心理的社会环境和文化因素以及商品的基本要素对消费者行为的影响，此外，还为学生介绍广告、广告理论、企业形象识别系统（CIS）以及对消费者决策的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6</w:t>
            </w:r>
          </w:p>
        </w:tc>
        <w:tc>
          <w:tcPr>
            <w:tcW w:w="93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lang w:val="en-US" w:eastAsia="zh-CN"/>
              </w:rPr>
              <w:t>营销策划</w:t>
            </w:r>
          </w:p>
        </w:tc>
        <w:tc>
          <w:tcPr>
            <w:tcW w:w="3669" w:type="pct"/>
            <w:vAlign w:val="center"/>
          </w:tcPr>
          <w:p>
            <w:pPr>
              <w:keepNext w:val="0"/>
              <w:keepLines w:val="0"/>
              <w:pageBreakBefore w:val="0"/>
              <w:widowControl/>
              <w:kinsoku/>
              <w:wordWrap/>
              <w:overflowPunct/>
              <w:topLinePunct w:val="0"/>
              <w:autoSpaceDE/>
              <w:autoSpaceDN/>
              <w:bidi w:val="0"/>
              <w:adjustRightInd/>
              <w:snapToGrid/>
              <w:spacing w:line="400" w:lineRule="exact"/>
              <w:ind w:firstLine="420" w:firstLineChars="200"/>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本课程主要学习市场细分策划，目标市场策划，目标市场定位策划，一般竞争战略策划，企业形象策划，顾客满意策划，产品整体概念和产品市场生命周期策划，品牌的产品组合策划，新产品开发上市的理论，价格策划，销售渠道策划，物流系统策划，知识营销策划及关系营销策划等内容，掌握营销策划的基本理论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7</w:t>
            </w:r>
          </w:p>
        </w:tc>
        <w:tc>
          <w:tcPr>
            <w:tcW w:w="93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sz w:val="21"/>
                <w:szCs w:val="21"/>
                <w:highlight w:val="none"/>
                <w:vertAlign w:val="baseline"/>
                <w:lang w:val="en-US" w:eastAsia="zh-CN"/>
              </w:rPr>
              <w:t>网络营销</w:t>
            </w:r>
          </w:p>
        </w:tc>
        <w:tc>
          <w:tcPr>
            <w:tcW w:w="366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sz w:val="21"/>
                <w:szCs w:val="21"/>
                <w:highlight w:val="none"/>
                <w:vertAlign w:val="baseline"/>
              </w:rPr>
              <w:t>本课程在考虑用户沟通社交化（Social）、决策场景化（Local）和行为移动化（Mobile）的基础上，基于交互营销的理念和移动互联网的发展特点来讲授数字时代的网络营销理论与实践，突破以往只注重结果和交易达成的交易营销模式（现在讲的关系营销实质上还是交易营销，因为关系营销的理念是将客户分级，进行差异化管理，最终还是以有效交易为营销目的</w:t>
            </w:r>
            <w:r>
              <w:rPr>
                <w:rFonts w:hint="eastAsia" w:ascii="仿宋_GB2312" w:hAnsi="仿宋_GB2312" w:eastAsia="仿宋_GB2312" w:cs="仿宋_GB2312"/>
                <w:sz w:val="21"/>
                <w:szCs w:val="21"/>
                <w:highlight w:val="none"/>
                <w:vertAlign w:val="baseline"/>
                <w:lang w:eastAsia="zh-CN"/>
              </w:rPr>
              <w:t>）</w:t>
            </w:r>
            <w:r>
              <w:rPr>
                <w:rFonts w:hint="eastAsia" w:ascii="仿宋_GB2312" w:hAnsi="仿宋_GB2312" w:eastAsia="仿宋_GB2312" w:cs="仿宋_GB2312"/>
                <w:sz w:val="21"/>
                <w:szCs w:val="21"/>
                <w:highlight w:val="none"/>
                <w:vertAlign w:val="baseli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8</w:t>
            </w:r>
          </w:p>
        </w:tc>
        <w:tc>
          <w:tcPr>
            <w:tcW w:w="93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sz w:val="21"/>
                <w:szCs w:val="21"/>
                <w:highlight w:val="none"/>
                <w:vertAlign w:val="baseline"/>
                <w:lang w:val="en-US" w:eastAsia="zh-CN"/>
              </w:rPr>
              <w:t>数字营销</w:t>
            </w:r>
          </w:p>
        </w:tc>
        <w:tc>
          <w:tcPr>
            <w:tcW w:w="366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本课程通过对理论、技术常识以及案例应用两部分的讲授，使学生了解数字营销的现状和特点，掌握企业营销的目标、方式和发展方向，并学会运用所学的知识去解释、解决现实中的营销问题，以适应飞速发展的营销传播的需要。 本课程的教学以理论讲授为主，实践教学为辅。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9</w:t>
            </w:r>
          </w:p>
        </w:tc>
        <w:tc>
          <w:tcPr>
            <w:tcW w:w="93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sz w:val="21"/>
                <w:szCs w:val="21"/>
                <w:highlight w:val="none"/>
                <w:vertAlign w:val="baseline"/>
                <w:lang w:val="en-US" w:eastAsia="zh-CN"/>
              </w:rPr>
              <w:t>新媒体营销</w:t>
            </w:r>
          </w:p>
        </w:tc>
        <w:tc>
          <w:tcPr>
            <w:tcW w:w="366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新媒体营销》这门课程是针对大学生开展新媒体营销与运营学习的课程，通过学习，使学生掌握新媒体的基础知识和基本理论，熟悉新媒体运营的基本方法，了解各类新媒体的特征、传播规律、运营策略、文案撰写技巧等一系列内容，激发学生对新媒体的兴趣，提高学生的新媒体运营洞察和策略能力，以此促进学生的就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5" w:hRule="atLeast"/>
          <w:jc w:val="center"/>
        </w:trPr>
        <w:tc>
          <w:tcPr>
            <w:tcW w:w="39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10</w:t>
            </w:r>
          </w:p>
        </w:tc>
        <w:tc>
          <w:tcPr>
            <w:tcW w:w="93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lang w:val="en-US" w:eastAsia="zh-CN"/>
              </w:rPr>
              <w:t>销售管理</w:t>
            </w:r>
          </w:p>
        </w:tc>
        <w:tc>
          <w:tcPr>
            <w:tcW w:w="3669" w:type="pct"/>
            <w:vAlign w:val="center"/>
          </w:tcPr>
          <w:p>
            <w:pPr>
              <w:keepNext w:val="0"/>
              <w:keepLines w:val="0"/>
              <w:pageBreakBefore w:val="0"/>
              <w:widowControl/>
              <w:kinsoku/>
              <w:wordWrap/>
              <w:overflowPunct/>
              <w:topLinePunct w:val="0"/>
              <w:autoSpaceDE/>
              <w:autoSpaceDN/>
              <w:bidi w:val="0"/>
              <w:adjustRightInd/>
              <w:snapToGrid/>
              <w:spacing w:line="400" w:lineRule="exact"/>
              <w:ind w:firstLine="420" w:firstLineChars="200"/>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sz w:val="21"/>
                <w:szCs w:val="21"/>
                <w:highlight w:val="none"/>
                <w:vertAlign w:val="baseline"/>
              </w:rPr>
              <w:t>《销售管理》是高等学校市场营销专业开设的一门新兴专业学科课程。 它是一门建立在市场营销管理理论基础之上的应用型学科，有较强的实践性。 主要介绍销售管理含义、模式、原理和销售管理中的道德等销售管理基础知识和销售规划、销售对象、销售人员和销售过程管理等内容。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5" w:hRule="atLeast"/>
          <w:jc w:val="center"/>
        </w:trPr>
        <w:tc>
          <w:tcPr>
            <w:tcW w:w="39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default" w:eastAsia="宋体"/>
                <w:lang w:val="en-US" w:eastAsia="zh-CN"/>
              </w:rPr>
            </w:pPr>
            <w:r>
              <w:rPr>
                <w:rFonts w:hint="eastAsia"/>
                <w:lang w:val="en-US" w:eastAsia="zh-CN"/>
              </w:rPr>
              <w:t>11</w:t>
            </w:r>
          </w:p>
        </w:tc>
        <w:tc>
          <w:tcPr>
            <w:tcW w:w="93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客户关系管理</w:t>
            </w:r>
          </w:p>
        </w:tc>
        <w:tc>
          <w:tcPr>
            <w:tcW w:w="366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rPr>
              <w:t>该课程从理论、技术以及实施三个方面对客户关系管理理论和实践内容进行介绍。 理论方面，介绍客户需求分析、客户满意及忠诚的获取和评价，强调企业的一切活动应从客户需求出发，在客户生命周期全过程获取客户价值；技术方面，提倡展现数据的力量，从收集客户信息，到对信息的整理，分析，深度挖掘，进而衍生出相应的客户知识及商业智能，指导企业的经营活动；实施方面，以企业文化重塑为基础，进行营销、销售、服务的业务流程重组，进而实施整体战略。</w:t>
            </w:r>
          </w:p>
        </w:tc>
      </w:tr>
    </w:tbl>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br w:type="page"/>
      </w: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lang w:val="en-US" w:eastAsia="zh-CN"/>
        </w:rPr>
        <w:t>考核与</w:t>
      </w:r>
      <w:r>
        <w:rPr>
          <w:rFonts w:hint="eastAsia" w:ascii="黑体" w:hAnsi="黑体" w:eastAsia="黑体"/>
          <w:b w:val="0"/>
          <w:bCs w:val="0"/>
          <w:sz w:val="24"/>
          <w:szCs w:val="24"/>
          <w:highlight w:val="none"/>
        </w:rPr>
        <w:t>毕业要求</w:t>
      </w:r>
    </w:p>
    <w:p>
      <w:pPr>
        <w:pageBreakBefore w:val="0"/>
        <w:widowControl w:val="0"/>
        <w:numPr>
          <w:ilvl w:val="0"/>
          <w:numId w:val="3"/>
        </w:numPr>
        <w:kinsoku/>
        <w:wordWrap/>
        <w:overflowPunct/>
        <w:topLinePunct w:val="0"/>
        <w:autoSpaceDE/>
        <w:autoSpaceDN/>
        <w:bidi w:val="0"/>
        <w:adjustRightInd/>
        <w:snapToGrid/>
        <w:spacing w:line="500" w:lineRule="exact"/>
        <w:ind w:left="0" w:leftChars="0" w:firstLine="420" w:firstLineChars="0"/>
        <w:textAlignment w:val="auto"/>
        <w:rPr>
          <w:rFonts w:hint="eastAsia" w:ascii="楷体_GB2312" w:hAnsi="楷体_GB2312" w:eastAsia="楷体_GB2312" w:cs="楷体_GB2312"/>
          <w:b/>
          <w:bCs/>
          <w:kern w:val="44"/>
          <w:sz w:val="24"/>
          <w:szCs w:val="24"/>
          <w:highlight w:val="none"/>
          <w:lang w:val="en-US" w:eastAsia="zh-CN" w:bidi="ar-SA"/>
        </w:rPr>
      </w:pPr>
      <w:r>
        <w:rPr>
          <w:rFonts w:hint="eastAsia" w:ascii="楷体_GB2312" w:hAnsi="楷体_GB2312" w:eastAsia="楷体_GB2312" w:cs="楷体_GB2312"/>
          <w:b/>
          <w:bCs/>
          <w:kern w:val="44"/>
          <w:sz w:val="24"/>
          <w:szCs w:val="24"/>
          <w:highlight w:val="none"/>
          <w:lang w:val="en-US" w:eastAsia="zh-CN" w:bidi="ar-SA"/>
        </w:rPr>
        <w:t>考核要求</w:t>
      </w:r>
    </w:p>
    <w:p>
      <w:pPr>
        <w:pStyle w:val="2"/>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val="0"/>
          <w:bCs/>
          <w:color w:val="000000"/>
          <w:kern w:val="0"/>
          <w:sz w:val="24"/>
          <w:szCs w:val="24"/>
          <w:lang w:val="en-US" w:eastAsia="zh-CN"/>
        </w:rPr>
        <w:t>课程考核立足课程特点和基本要求，采用过程性考核（平时成绩）与终结性考核（期末考试）相结合的模式。其中平时成绩由平时学习及表现、作业、考勤三部分组成。课程期末考试成绩占总成绩比例原则上不低于60%，不超过80%。考勤缺课学时数占该门课程总时数30%以上者，不能参加本课程的考核，该课程成绩按“0”分记载。</w:t>
      </w:r>
    </w:p>
    <w:p>
      <w:pPr>
        <w:pageBreakBefore w:val="0"/>
        <w:widowControl w:val="0"/>
        <w:numPr>
          <w:ilvl w:val="0"/>
          <w:numId w:val="3"/>
        </w:numPr>
        <w:kinsoku/>
        <w:wordWrap/>
        <w:overflowPunct/>
        <w:topLinePunct w:val="0"/>
        <w:autoSpaceDE/>
        <w:autoSpaceDN/>
        <w:bidi w:val="0"/>
        <w:adjustRightInd/>
        <w:snapToGrid/>
        <w:spacing w:line="500" w:lineRule="exact"/>
        <w:ind w:left="0" w:leftChars="0" w:firstLine="420" w:firstLineChars="0"/>
        <w:textAlignment w:val="auto"/>
        <w:rPr>
          <w:rFonts w:hint="eastAsia" w:ascii="楷体_GB2312" w:hAnsi="楷体_GB2312" w:eastAsia="楷体_GB2312" w:cs="楷体_GB2312"/>
          <w:b/>
          <w:bCs/>
          <w:kern w:val="44"/>
          <w:sz w:val="24"/>
          <w:szCs w:val="24"/>
          <w:highlight w:val="none"/>
          <w:lang w:val="en-US" w:eastAsia="zh-CN" w:bidi="ar-SA"/>
        </w:rPr>
      </w:pPr>
      <w:r>
        <w:rPr>
          <w:rFonts w:hint="eastAsia" w:ascii="楷体_GB2312" w:hAnsi="楷体_GB2312" w:eastAsia="楷体_GB2312" w:cs="楷体_GB2312"/>
          <w:b/>
          <w:bCs/>
          <w:kern w:val="44"/>
          <w:sz w:val="24"/>
          <w:szCs w:val="24"/>
          <w:highlight w:val="none"/>
          <w:lang w:val="en-US" w:eastAsia="zh-CN" w:bidi="ar-SA"/>
        </w:rPr>
        <w:t>毕业要求</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right="0" w:rightChars="0" w:firstLine="480" w:firstLineChars="200"/>
        <w:jc w:val="both"/>
        <w:textAlignment w:val="auto"/>
        <w:outlineLvl w:val="9"/>
        <w:rPr>
          <w:rFonts w:hint="eastAsia" w:ascii="仿宋_GB2312" w:hAnsi="仿宋_GB2312" w:eastAsia="仿宋_GB2312" w:cs="仿宋_GB2312"/>
          <w:b w:val="0"/>
          <w:bCs/>
          <w:color w:val="000000"/>
          <w:kern w:val="0"/>
          <w:sz w:val="24"/>
          <w:szCs w:val="24"/>
          <w:lang w:val="en-US" w:eastAsia="zh-CN"/>
        </w:rPr>
      </w:pPr>
      <w:r>
        <w:rPr>
          <w:rFonts w:hint="eastAsia" w:ascii="仿宋_GB2312" w:hAnsi="仿宋_GB2312" w:eastAsia="仿宋_GB2312" w:cs="仿宋_GB2312"/>
          <w:b w:val="0"/>
          <w:bCs/>
          <w:color w:val="000000"/>
          <w:kern w:val="0"/>
          <w:sz w:val="24"/>
          <w:szCs w:val="24"/>
          <w:lang w:val="en-US" w:eastAsia="zh-CN"/>
        </w:rPr>
        <w:t>1.学生在基本学制2.5年的专业人才培养方案所规定的1620学时90学分，完成规定的教学活动，达到培养规格规定的素质、知识和能力等要求，准予毕业。</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b w:val="0"/>
          <w:bCs/>
          <w:color w:val="000000"/>
          <w:kern w:val="0"/>
          <w:sz w:val="24"/>
          <w:szCs w:val="24"/>
          <w:lang w:val="en-US" w:eastAsia="zh-CN"/>
        </w:rPr>
      </w:pPr>
      <w:r>
        <w:rPr>
          <w:rFonts w:hint="eastAsia" w:ascii="仿宋_GB2312" w:hAnsi="仿宋_GB2312" w:eastAsia="仿宋_GB2312" w:cs="仿宋_GB2312"/>
          <w:b w:val="0"/>
          <w:bCs/>
          <w:color w:val="000000"/>
          <w:kern w:val="0"/>
          <w:sz w:val="24"/>
          <w:szCs w:val="24"/>
          <w:lang w:val="en-US" w:eastAsia="zh-CN"/>
        </w:rPr>
        <w:t>2.取得本科毕业证书、全省学位外语考试合格、毕业论文（设计）良好以上，符合我校《成人高等教育学士学位授予工作实施细则》有关规定者，可授予管理学学士学位证书。</w:t>
      </w:r>
    </w:p>
    <w:p>
      <w:pPr>
        <w:pageBreakBefore w:val="0"/>
        <w:widowControl w:val="0"/>
        <w:kinsoku/>
        <w:wordWrap/>
        <w:overflowPunct/>
        <w:topLinePunct w:val="0"/>
        <w:autoSpaceDE/>
        <w:autoSpaceDN/>
        <w:bidi w:val="0"/>
        <w:adjustRightInd/>
        <w:snapToGrid/>
        <w:spacing w:line="500" w:lineRule="exact"/>
        <w:textAlignment w:val="auto"/>
        <w:rPr>
          <w:rFonts w:hint="eastAsia"/>
          <w:sz w:val="24"/>
          <w:szCs w:val="24"/>
        </w:rPr>
      </w:pP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rPr>
        <w:t>课程教学计划</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本专业学生应修满的最低学分为</w:t>
      </w:r>
      <w:r>
        <w:rPr>
          <w:rFonts w:hint="eastAsia" w:ascii="仿宋_GB2312" w:hAnsi="仿宋_GB2312" w:eastAsia="仿宋_GB2312" w:cs="仿宋_GB2312"/>
          <w:sz w:val="24"/>
          <w:szCs w:val="24"/>
          <w:highlight w:val="none"/>
          <w:lang w:val="en-US" w:eastAsia="zh-CN"/>
        </w:rPr>
        <w:t>90</w:t>
      </w:r>
      <w:r>
        <w:rPr>
          <w:rFonts w:hint="eastAsia" w:ascii="仿宋_GB2312" w:hAnsi="仿宋_GB2312" w:eastAsia="仿宋_GB2312" w:cs="仿宋_GB2312"/>
          <w:sz w:val="24"/>
          <w:szCs w:val="24"/>
          <w:highlight w:val="none"/>
        </w:rPr>
        <w:t>学分。其中</w:t>
      </w:r>
      <w:r>
        <w:rPr>
          <w:rFonts w:hint="eastAsia" w:ascii="仿宋_GB2312" w:hAnsi="仿宋_GB2312" w:eastAsia="仿宋_GB2312" w:cs="仿宋_GB2312"/>
          <w:sz w:val="24"/>
          <w:szCs w:val="24"/>
          <w:highlight w:val="none"/>
          <w:lang w:val="en-US" w:eastAsia="zh-CN"/>
        </w:rPr>
        <w:t>通识教育课程28</w:t>
      </w:r>
      <w:r>
        <w:rPr>
          <w:rFonts w:hint="eastAsia" w:ascii="仿宋_GB2312" w:hAnsi="仿宋_GB2312" w:eastAsia="仿宋_GB2312" w:cs="仿宋_GB2312"/>
          <w:sz w:val="24"/>
          <w:szCs w:val="24"/>
          <w:highlight w:val="none"/>
        </w:rPr>
        <w:t>学分，</w:t>
      </w:r>
      <w:r>
        <w:rPr>
          <w:rFonts w:hint="eastAsia" w:ascii="仿宋_GB2312" w:hAnsi="仿宋_GB2312" w:eastAsia="仿宋_GB2312" w:cs="仿宋_GB2312"/>
          <w:sz w:val="24"/>
          <w:szCs w:val="24"/>
          <w:highlight w:val="none"/>
          <w:lang w:val="en-US" w:eastAsia="zh-CN"/>
        </w:rPr>
        <w:t>学科基础课程21学分</w:t>
      </w: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专业课程27学分</w:t>
      </w: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综合实践课程14学分</w:t>
      </w:r>
      <w:r>
        <w:rPr>
          <w:rFonts w:hint="eastAsia" w:ascii="仿宋_GB2312" w:hAnsi="仿宋_GB2312" w:eastAsia="仿宋_GB2312" w:cs="仿宋_GB2312"/>
          <w:sz w:val="24"/>
          <w:szCs w:val="24"/>
          <w:highlight w:val="none"/>
        </w:rPr>
        <w:t>。所有修读课程均须通过考核，考核及格以上者方能取得相应学分。</w:t>
      </w:r>
    </w:p>
    <w:p>
      <w:pPr>
        <w:pStyle w:val="2"/>
        <w:rPr>
          <w:rFonts w:hint="eastAsia" w:ascii="仿宋_GB2312" w:hAnsi="仿宋_GB2312" w:eastAsia="仿宋_GB2312" w:cs="仿宋_GB2312"/>
          <w:sz w:val="24"/>
          <w:szCs w:val="24"/>
          <w:highlight w:val="none"/>
        </w:rPr>
      </w:pPr>
    </w:p>
    <w:p>
      <w:pPr>
        <w:pageBreakBefore w:val="0"/>
        <w:kinsoku/>
        <w:wordWrap/>
        <w:overflowPunct/>
        <w:topLinePunct w:val="0"/>
        <w:autoSpaceDE/>
        <w:autoSpaceDN/>
        <w:bidi w:val="0"/>
        <w:adjustRightInd/>
        <w:snapToGrid/>
        <w:spacing w:line="500" w:lineRule="exact"/>
        <w:ind w:left="0"/>
        <w:jc w:val="center"/>
        <w:rPr>
          <w:rFonts w:hint="eastAsia" w:ascii="黑体" w:hAnsi="黑体" w:eastAsia="黑体" w:cs="黑体"/>
          <w:b/>
          <w:bCs/>
          <w:kern w:val="0"/>
          <w:sz w:val="24"/>
          <w:szCs w:val="24"/>
          <w:highlight w:val="none"/>
        </w:rPr>
      </w:pPr>
      <w:r>
        <w:rPr>
          <w:rFonts w:hint="eastAsia" w:ascii="黑体" w:hAnsi="黑体" w:eastAsia="黑体" w:cs="黑体"/>
          <w:b/>
          <w:bCs/>
          <w:kern w:val="0"/>
          <w:sz w:val="24"/>
          <w:szCs w:val="24"/>
          <w:highlight w:val="none"/>
          <w:lang w:val="en-US" w:eastAsia="zh-CN"/>
        </w:rPr>
        <w:t>表四：市场营销</w:t>
      </w:r>
      <w:r>
        <w:rPr>
          <w:rFonts w:hint="eastAsia" w:ascii="黑体" w:hAnsi="黑体" w:eastAsia="黑体" w:cs="黑体"/>
          <w:b/>
          <w:bCs/>
          <w:kern w:val="0"/>
          <w:sz w:val="24"/>
          <w:szCs w:val="24"/>
          <w:highlight w:val="none"/>
        </w:rPr>
        <w:t>专业</w:t>
      </w:r>
      <w:r>
        <w:rPr>
          <w:rFonts w:hint="eastAsia" w:ascii="黑体" w:hAnsi="黑体" w:eastAsia="黑体" w:cs="黑体"/>
          <w:b/>
          <w:bCs/>
          <w:kern w:val="0"/>
          <w:sz w:val="24"/>
          <w:szCs w:val="24"/>
          <w:highlight w:val="none"/>
          <w:lang w:val="en-US" w:eastAsia="zh-CN"/>
        </w:rPr>
        <w:t>成人高等教育（专升本）毕业生应修学分参考</w:t>
      </w:r>
      <w:r>
        <w:rPr>
          <w:rFonts w:hint="eastAsia" w:ascii="黑体" w:hAnsi="黑体" w:eastAsia="黑体" w:cs="黑体"/>
          <w:b/>
          <w:bCs/>
          <w:kern w:val="0"/>
          <w:sz w:val="24"/>
          <w:szCs w:val="24"/>
          <w:highlight w:val="none"/>
        </w:rPr>
        <w:t>表</w:t>
      </w:r>
    </w:p>
    <w:tbl>
      <w:tblPr>
        <w:tblStyle w:val="1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6"/>
        <w:gridCol w:w="996"/>
        <w:gridCol w:w="908"/>
        <w:gridCol w:w="1237"/>
        <w:gridCol w:w="1237"/>
        <w:gridCol w:w="1237"/>
        <w:gridCol w:w="1237"/>
        <w:gridCol w:w="12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课程类别</w:t>
            </w:r>
          </w:p>
        </w:tc>
        <w:tc>
          <w:tcPr>
            <w:tcW w:w="503"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lang w:val="en-US" w:eastAsia="zh-CN"/>
              </w:rPr>
            </w:pPr>
            <w:r>
              <w:rPr>
                <w:rFonts w:hint="eastAsia" w:ascii="仿宋_GB2312" w:hAnsi="仿宋_GB2312" w:eastAsia="仿宋_GB2312" w:cs="仿宋_GB2312"/>
                <w:b/>
                <w:bCs/>
                <w:sz w:val="21"/>
                <w:szCs w:val="21"/>
                <w:vertAlign w:val="baseline"/>
                <w:lang w:val="en-US" w:eastAsia="zh-CN"/>
              </w:rPr>
              <w:t>课程</w:t>
            </w: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性质</w:t>
            </w:r>
          </w:p>
        </w:tc>
        <w:tc>
          <w:tcPr>
            <w:tcW w:w="458"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lang w:val="en-US"/>
              </w:rPr>
            </w:pPr>
            <w:r>
              <w:rPr>
                <w:rFonts w:hint="eastAsia" w:ascii="仿宋_GB2312" w:hAnsi="仿宋_GB2312" w:eastAsia="仿宋_GB2312" w:cs="仿宋_GB2312"/>
                <w:b/>
                <w:bCs/>
                <w:sz w:val="21"/>
                <w:szCs w:val="21"/>
                <w:vertAlign w:val="baseline"/>
                <w:lang w:val="en-US" w:eastAsia="zh-CN"/>
              </w:rPr>
              <w:t>学分数</w:t>
            </w:r>
          </w:p>
        </w:tc>
        <w:tc>
          <w:tcPr>
            <w:tcW w:w="3125" w:type="pct"/>
            <w:gridSpan w:val="5"/>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各学期应修学分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vertAlign w:val="baseline"/>
              </w:rPr>
            </w:pPr>
          </w:p>
        </w:tc>
        <w:tc>
          <w:tcPr>
            <w:tcW w:w="503"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vertAlign w:val="baseline"/>
              </w:rPr>
            </w:pPr>
          </w:p>
        </w:tc>
        <w:tc>
          <w:tcPr>
            <w:tcW w:w="458"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vertAlign w:val="baseline"/>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一</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二</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三</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四</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通识教育课程</w:t>
            </w: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必修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26</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10.5</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11.5</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3.5</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0.5</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选修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2</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2</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学科基础课程</w:t>
            </w: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必修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21</w:t>
            </w:r>
          </w:p>
        </w:tc>
        <w:tc>
          <w:tcPr>
            <w:tcW w:w="1230"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6</w:t>
            </w:r>
          </w:p>
        </w:tc>
        <w:tc>
          <w:tcPr>
            <w:tcW w:w="1230"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6</w:t>
            </w:r>
          </w:p>
        </w:tc>
        <w:tc>
          <w:tcPr>
            <w:tcW w:w="1230"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9</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专业课程</w:t>
            </w: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必修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27</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8</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17</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综合实践课程</w:t>
            </w: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必修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14</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5" w:type="pct"/>
            <w:gridSpan w:val="2"/>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合计</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90</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rPr>
            </w:pPr>
            <w:r>
              <w:rPr>
                <w:rFonts w:hint="default" w:ascii="仿宋_GB2312" w:hAnsi="仿宋_GB2312" w:eastAsia="仿宋_GB2312" w:cs="仿宋_GB2312"/>
                <w:sz w:val="21"/>
                <w:szCs w:val="21"/>
                <w:vertAlign w:val="baseline"/>
              </w:rPr>
              <w:fldChar w:fldCharType="begin"/>
            </w:r>
            <w:r>
              <w:rPr>
                <w:rFonts w:hint="default" w:ascii="仿宋_GB2312" w:hAnsi="仿宋_GB2312" w:eastAsia="仿宋_GB2312" w:cs="仿宋_GB2312"/>
                <w:sz w:val="21"/>
                <w:szCs w:val="21"/>
                <w:vertAlign w:val="baseline"/>
              </w:rPr>
              <w:instrText xml:space="preserve"> =SUM(ABOVE) \* MERGEFORMAT </w:instrText>
            </w:r>
            <w:r>
              <w:rPr>
                <w:rFonts w:hint="default" w:ascii="仿宋_GB2312" w:hAnsi="仿宋_GB2312" w:eastAsia="仿宋_GB2312" w:cs="仿宋_GB2312"/>
                <w:sz w:val="21"/>
                <w:szCs w:val="21"/>
                <w:vertAlign w:val="baseline"/>
              </w:rPr>
              <w:fldChar w:fldCharType="separate"/>
            </w:r>
            <w:r>
              <w:rPr>
                <w:rFonts w:hint="default" w:ascii="仿宋_GB2312" w:hAnsi="仿宋_GB2312" w:eastAsia="仿宋_GB2312" w:cs="仿宋_GB2312"/>
                <w:sz w:val="21"/>
                <w:szCs w:val="21"/>
                <w:vertAlign w:val="baseline"/>
              </w:rPr>
              <w:t>17.5</w:t>
            </w:r>
            <w:r>
              <w:rPr>
                <w:rFonts w:hint="default" w:ascii="仿宋_GB2312" w:hAnsi="仿宋_GB2312" w:eastAsia="仿宋_GB2312" w:cs="仿宋_GB2312"/>
                <w:sz w:val="21"/>
                <w:szCs w:val="21"/>
                <w:vertAlign w:val="baseline"/>
              </w:rPr>
              <w:fldChar w:fldCharType="end"/>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rPr>
            </w:pPr>
            <w:r>
              <w:rPr>
                <w:rFonts w:hint="default" w:ascii="仿宋_GB2312" w:hAnsi="仿宋_GB2312" w:eastAsia="仿宋_GB2312" w:cs="仿宋_GB2312"/>
                <w:sz w:val="21"/>
                <w:szCs w:val="21"/>
                <w:vertAlign w:val="baseline"/>
              </w:rPr>
              <w:fldChar w:fldCharType="begin"/>
            </w:r>
            <w:r>
              <w:rPr>
                <w:rFonts w:hint="default" w:ascii="仿宋_GB2312" w:hAnsi="仿宋_GB2312" w:eastAsia="仿宋_GB2312" w:cs="仿宋_GB2312"/>
                <w:sz w:val="21"/>
                <w:szCs w:val="21"/>
                <w:vertAlign w:val="baseline"/>
              </w:rPr>
              <w:instrText xml:space="preserve"> =SUM(ABOVE) \* MERGEFORMAT </w:instrText>
            </w:r>
            <w:r>
              <w:rPr>
                <w:rFonts w:hint="default" w:ascii="仿宋_GB2312" w:hAnsi="仿宋_GB2312" w:eastAsia="仿宋_GB2312" w:cs="仿宋_GB2312"/>
                <w:sz w:val="21"/>
                <w:szCs w:val="21"/>
                <w:vertAlign w:val="baseline"/>
              </w:rPr>
              <w:fldChar w:fldCharType="separate"/>
            </w:r>
            <w:r>
              <w:rPr>
                <w:rFonts w:hint="default" w:ascii="仿宋_GB2312" w:hAnsi="仿宋_GB2312" w:eastAsia="仿宋_GB2312" w:cs="仿宋_GB2312"/>
                <w:sz w:val="21"/>
                <w:szCs w:val="21"/>
                <w:vertAlign w:val="baseline"/>
              </w:rPr>
              <w:t>19.5</w:t>
            </w:r>
            <w:r>
              <w:rPr>
                <w:rFonts w:hint="default" w:ascii="仿宋_GB2312" w:hAnsi="仿宋_GB2312" w:eastAsia="仿宋_GB2312" w:cs="仿宋_GB2312"/>
                <w:sz w:val="21"/>
                <w:szCs w:val="21"/>
                <w:vertAlign w:val="baseline"/>
              </w:rPr>
              <w:fldChar w:fldCharType="end"/>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rPr>
            </w:pPr>
            <w:r>
              <w:rPr>
                <w:rFonts w:hint="default" w:ascii="仿宋_GB2312" w:hAnsi="仿宋_GB2312" w:eastAsia="仿宋_GB2312" w:cs="仿宋_GB2312"/>
                <w:sz w:val="21"/>
                <w:szCs w:val="21"/>
                <w:vertAlign w:val="baseline"/>
              </w:rPr>
              <w:fldChar w:fldCharType="begin"/>
            </w:r>
            <w:r>
              <w:rPr>
                <w:rFonts w:hint="default" w:ascii="仿宋_GB2312" w:hAnsi="仿宋_GB2312" w:eastAsia="仿宋_GB2312" w:cs="仿宋_GB2312"/>
                <w:sz w:val="21"/>
                <w:szCs w:val="21"/>
                <w:vertAlign w:val="baseline"/>
              </w:rPr>
              <w:instrText xml:space="preserve"> =SUM(ABOVE) \* MERGEFORMAT </w:instrText>
            </w:r>
            <w:r>
              <w:rPr>
                <w:rFonts w:hint="default" w:ascii="仿宋_GB2312" w:hAnsi="仿宋_GB2312" w:eastAsia="仿宋_GB2312" w:cs="仿宋_GB2312"/>
                <w:sz w:val="21"/>
                <w:szCs w:val="21"/>
                <w:vertAlign w:val="baseline"/>
              </w:rPr>
              <w:fldChar w:fldCharType="separate"/>
            </w:r>
            <w:r>
              <w:rPr>
                <w:rFonts w:hint="default" w:ascii="仿宋_GB2312" w:hAnsi="仿宋_GB2312" w:eastAsia="仿宋_GB2312" w:cs="仿宋_GB2312"/>
                <w:sz w:val="21"/>
                <w:szCs w:val="21"/>
                <w:vertAlign w:val="baseline"/>
              </w:rPr>
              <w:t>20.5</w:t>
            </w:r>
            <w:r>
              <w:rPr>
                <w:rFonts w:hint="default" w:ascii="仿宋_GB2312" w:hAnsi="仿宋_GB2312" w:eastAsia="仿宋_GB2312" w:cs="仿宋_GB2312"/>
                <w:sz w:val="21"/>
                <w:szCs w:val="21"/>
                <w:vertAlign w:val="baseline"/>
              </w:rPr>
              <w:fldChar w:fldCharType="end"/>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rPr>
            </w:pPr>
            <w:r>
              <w:rPr>
                <w:rFonts w:hint="default" w:ascii="仿宋_GB2312" w:hAnsi="仿宋_GB2312" w:eastAsia="仿宋_GB2312" w:cs="仿宋_GB2312"/>
                <w:sz w:val="21"/>
                <w:szCs w:val="21"/>
                <w:vertAlign w:val="baseline"/>
              </w:rPr>
              <w:fldChar w:fldCharType="begin"/>
            </w:r>
            <w:r>
              <w:rPr>
                <w:rFonts w:hint="default" w:ascii="仿宋_GB2312" w:hAnsi="仿宋_GB2312" w:eastAsia="仿宋_GB2312" w:cs="仿宋_GB2312"/>
                <w:sz w:val="21"/>
                <w:szCs w:val="21"/>
                <w:vertAlign w:val="baseline"/>
              </w:rPr>
              <w:instrText xml:space="preserve"> =SUM(ABOVE) \* MERGEFORMAT </w:instrText>
            </w:r>
            <w:r>
              <w:rPr>
                <w:rFonts w:hint="default" w:ascii="仿宋_GB2312" w:hAnsi="仿宋_GB2312" w:eastAsia="仿宋_GB2312" w:cs="仿宋_GB2312"/>
                <w:sz w:val="21"/>
                <w:szCs w:val="21"/>
                <w:vertAlign w:val="baseline"/>
              </w:rPr>
              <w:fldChar w:fldCharType="separate"/>
            </w:r>
            <w:r>
              <w:rPr>
                <w:rFonts w:hint="default" w:ascii="仿宋_GB2312" w:hAnsi="仿宋_GB2312" w:eastAsia="仿宋_GB2312" w:cs="仿宋_GB2312"/>
                <w:sz w:val="21"/>
                <w:szCs w:val="21"/>
                <w:vertAlign w:val="baseline"/>
              </w:rPr>
              <w:t>21.5</w:t>
            </w:r>
            <w:r>
              <w:rPr>
                <w:rFonts w:hint="default" w:ascii="仿宋_GB2312" w:hAnsi="仿宋_GB2312" w:eastAsia="仿宋_GB2312" w:cs="仿宋_GB2312"/>
                <w:sz w:val="21"/>
                <w:szCs w:val="21"/>
                <w:vertAlign w:val="baseline"/>
              </w:rPr>
              <w:fldChar w:fldCharType="end"/>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rPr>
              <w:fldChar w:fldCharType="begin"/>
            </w:r>
            <w:r>
              <w:rPr>
                <w:rFonts w:hint="eastAsia" w:ascii="仿宋_GB2312" w:hAnsi="仿宋_GB2312" w:eastAsia="仿宋_GB2312" w:cs="仿宋_GB2312"/>
                <w:sz w:val="21"/>
                <w:szCs w:val="21"/>
                <w:vertAlign w:val="baseline"/>
              </w:rPr>
              <w:instrText xml:space="preserve"> =SUM(ABOVE) \* MERGEFORMAT </w:instrText>
            </w:r>
            <w:r>
              <w:rPr>
                <w:rFonts w:hint="eastAsia" w:ascii="仿宋_GB2312" w:hAnsi="仿宋_GB2312" w:eastAsia="仿宋_GB2312" w:cs="仿宋_GB2312"/>
                <w:sz w:val="21"/>
                <w:szCs w:val="21"/>
                <w:vertAlign w:val="baseline"/>
              </w:rPr>
              <w:fldChar w:fldCharType="separate"/>
            </w:r>
            <w:r>
              <w:rPr>
                <w:rFonts w:hint="eastAsia" w:ascii="仿宋_GB2312" w:hAnsi="仿宋_GB2312" w:eastAsia="仿宋_GB2312" w:cs="仿宋_GB2312"/>
                <w:sz w:val="21"/>
                <w:szCs w:val="21"/>
                <w:vertAlign w:val="baseline"/>
              </w:rPr>
              <w:t>11</w:t>
            </w:r>
            <w:r>
              <w:rPr>
                <w:rFonts w:hint="eastAsia" w:ascii="仿宋_GB2312" w:hAnsi="仿宋_GB2312" w:eastAsia="仿宋_GB2312" w:cs="仿宋_GB2312"/>
                <w:sz w:val="21"/>
                <w:szCs w:val="21"/>
                <w:vertAlign w:val="baseli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5" w:type="pct"/>
            <w:gridSpan w:val="2"/>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占总学分百分比（%）</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100</w:t>
            </w:r>
          </w:p>
        </w:tc>
        <w:tc>
          <w:tcPr>
            <w:tcW w:w="1230" w:type="dxa"/>
            <w:vAlign w:val="bottom"/>
          </w:tcPr>
          <w:p>
            <w:pPr>
              <w:jc w:val="center"/>
              <w:rPr>
                <w:rFonts w:hint="eastAsia" w:ascii="仿宋_GB2312" w:hAnsi="仿宋_GB2312" w:eastAsia="仿宋_GB2312" w:cs="仿宋_GB2312"/>
                <w:kern w:val="0"/>
                <w:sz w:val="21"/>
                <w:szCs w:val="21"/>
                <w:vertAlign w:val="baseline"/>
                <w:lang w:val="en-US" w:eastAsia="zh-CN" w:bidi="ar-SA"/>
              </w:rPr>
            </w:pPr>
            <w:r>
              <w:rPr>
                <w:rFonts w:hint="eastAsia" w:ascii="仿宋_GB2312" w:hAnsi="仿宋_GB2312" w:eastAsia="仿宋_GB2312" w:cs="仿宋_GB2312"/>
                <w:kern w:val="0"/>
                <w:sz w:val="21"/>
                <w:szCs w:val="21"/>
                <w:vertAlign w:val="baseline"/>
                <w:lang w:val="en-US" w:eastAsia="zh-CN" w:bidi="ar-SA"/>
              </w:rPr>
              <w:t>19.4</w:t>
            </w:r>
          </w:p>
        </w:tc>
        <w:tc>
          <w:tcPr>
            <w:tcW w:w="1230" w:type="dxa"/>
            <w:vAlign w:val="bottom"/>
          </w:tcPr>
          <w:p>
            <w:pPr>
              <w:jc w:val="center"/>
              <w:rPr>
                <w:rFonts w:hint="eastAsia" w:ascii="仿宋_GB2312" w:hAnsi="仿宋_GB2312" w:eastAsia="仿宋_GB2312" w:cs="仿宋_GB2312"/>
                <w:kern w:val="0"/>
                <w:sz w:val="21"/>
                <w:szCs w:val="21"/>
                <w:vertAlign w:val="baseline"/>
                <w:lang w:val="en-US" w:eastAsia="zh-CN" w:bidi="ar-SA"/>
              </w:rPr>
            </w:pPr>
            <w:r>
              <w:rPr>
                <w:rFonts w:hint="eastAsia" w:ascii="仿宋_GB2312" w:hAnsi="仿宋_GB2312" w:eastAsia="仿宋_GB2312" w:cs="仿宋_GB2312"/>
                <w:kern w:val="0"/>
                <w:sz w:val="21"/>
                <w:szCs w:val="21"/>
                <w:vertAlign w:val="baseline"/>
                <w:lang w:val="en-US" w:eastAsia="zh-CN" w:bidi="ar-SA"/>
              </w:rPr>
              <w:t>21.7</w:t>
            </w:r>
          </w:p>
        </w:tc>
        <w:tc>
          <w:tcPr>
            <w:tcW w:w="1230" w:type="dxa"/>
            <w:vAlign w:val="bottom"/>
          </w:tcPr>
          <w:p>
            <w:pPr>
              <w:jc w:val="center"/>
              <w:rPr>
                <w:rFonts w:hint="eastAsia" w:ascii="仿宋_GB2312" w:hAnsi="仿宋_GB2312" w:eastAsia="仿宋_GB2312" w:cs="仿宋_GB2312"/>
                <w:kern w:val="0"/>
                <w:sz w:val="21"/>
                <w:szCs w:val="21"/>
                <w:vertAlign w:val="baseline"/>
                <w:lang w:val="en-US" w:eastAsia="zh-CN" w:bidi="ar-SA"/>
              </w:rPr>
            </w:pPr>
            <w:r>
              <w:rPr>
                <w:rFonts w:hint="eastAsia" w:ascii="仿宋_GB2312" w:hAnsi="仿宋_GB2312" w:eastAsia="仿宋_GB2312" w:cs="仿宋_GB2312"/>
                <w:kern w:val="0"/>
                <w:sz w:val="21"/>
                <w:szCs w:val="21"/>
                <w:vertAlign w:val="baseline"/>
                <w:lang w:val="en-US" w:eastAsia="zh-CN" w:bidi="ar-SA"/>
              </w:rPr>
              <w:t>22.8</w:t>
            </w:r>
          </w:p>
        </w:tc>
        <w:tc>
          <w:tcPr>
            <w:tcW w:w="1230" w:type="dxa"/>
            <w:vAlign w:val="bottom"/>
          </w:tcPr>
          <w:p>
            <w:pPr>
              <w:jc w:val="center"/>
              <w:rPr>
                <w:rFonts w:hint="eastAsia" w:ascii="仿宋_GB2312" w:hAnsi="仿宋_GB2312" w:eastAsia="仿宋_GB2312" w:cs="仿宋_GB2312"/>
                <w:kern w:val="0"/>
                <w:sz w:val="21"/>
                <w:szCs w:val="21"/>
                <w:vertAlign w:val="baseline"/>
                <w:lang w:val="en-US" w:eastAsia="zh-CN" w:bidi="ar-SA"/>
              </w:rPr>
            </w:pPr>
            <w:r>
              <w:rPr>
                <w:rFonts w:hint="eastAsia" w:ascii="仿宋_GB2312" w:hAnsi="仿宋_GB2312" w:eastAsia="仿宋_GB2312" w:cs="仿宋_GB2312"/>
                <w:kern w:val="0"/>
                <w:sz w:val="21"/>
                <w:szCs w:val="21"/>
                <w:vertAlign w:val="baseline"/>
                <w:lang w:val="en-US" w:eastAsia="zh-CN" w:bidi="ar-SA"/>
              </w:rPr>
              <w:t>23.9</w:t>
            </w:r>
          </w:p>
        </w:tc>
        <w:tc>
          <w:tcPr>
            <w:tcW w:w="1240" w:type="dxa"/>
            <w:vAlign w:val="bottom"/>
          </w:tcPr>
          <w:p>
            <w:pPr>
              <w:jc w:val="center"/>
              <w:rPr>
                <w:rFonts w:hint="eastAsia" w:ascii="仿宋_GB2312" w:hAnsi="仿宋_GB2312" w:eastAsia="仿宋_GB2312" w:cs="仿宋_GB2312"/>
                <w:kern w:val="0"/>
                <w:sz w:val="21"/>
                <w:szCs w:val="21"/>
                <w:vertAlign w:val="baseline"/>
                <w:lang w:val="en-US" w:eastAsia="zh-CN" w:bidi="ar-SA"/>
              </w:rPr>
            </w:pPr>
            <w:r>
              <w:rPr>
                <w:rFonts w:hint="eastAsia" w:ascii="仿宋_GB2312" w:hAnsi="仿宋_GB2312" w:eastAsia="仿宋_GB2312" w:cs="仿宋_GB2312"/>
                <w:kern w:val="0"/>
                <w:sz w:val="21"/>
                <w:szCs w:val="21"/>
                <w:vertAlign w:val="baseline"/>
                <w:lang w:val="en-US" w:eastAsia="zh-CN" w:bidi="ar-SA"/>
              </w:rPr>
              <w:t>12.2</w:t>
            </w:r>
          </w:p>
        </w:tc>
      </w:tr>
    </w:tbl>
    <w:p>
      <w:pPr>
        <w:pStyle w:val="2"/>
        <w:ind w:left="0" w:leftChars="0" w:firstLine="0" w:firstLineChars="0"/>
        <w:rPr>
          <w:rFonts w:hint="eastAsia" w:ascii="仿宋_GB2312" w:hAnsi="仿宋_GB2312" w:eastAsia="仿宋_GB2312" w:cs="仿宋_GB2312"/>
          <w:sz w:val="24"/>
          <w:szCs w:val="24"/>
          <w:highlight w:val="none"/>
        </w:rPr>
      </w:pPr>
    </w:p>
    <w:p>
      <w:pPr>
        <w:rPr>
          <w:rFonts w:hint="eastAsia" w:ascii="黑体" w:hAnsi="黑体" w:eastAsia="黑体" w:cs="黑体"/>
          <w:b/>
          <w:bCs/>
          <w:kern w:val="0"/>
          <w:sz w:val="24"/>
          <w:szCs w:val="24"/>
          <w:highlight w:val="none"/>
          <w:lang w:val="en-US" w:eastAsia="zh-CN"/>
        </w:rPr>
      </w:pPr>
      <w:r>
        <w:rPr>
          <w:rFonts w:hint="eastAsia" w:ascii="黑体" w:hAnsi="黑体" w:eastAsia="黑体" w:cs="黑体"/>
          <w:b/>
          <w:bCs/>
          <w:kern w:val="0"/>
          <w:sz w:val="24"/>
          <w:szCs w:val="24"/>
          <w:highlight w:val="none"/>
          <w:lang w:val="en-US" w:eastAsia="zh-CN"/>
        </w:rPr>
        <w:br w:type="page"/>
      </w:r>
    </w:p>
    <w:p>
      <w:pPr>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sz w:val="24"/>
          <w:szCs w:val="24"/>
          <w:highlight w:val="none"/>
        </w:rPr>
      </w:pPr>
      <w:r>
        <w:rPr>
          <w:rFonts w:hint="eastAsia" w:ascii="黑体" w:hAnsi="黑体" w:eastAsia="黑体" w:cs="黑体"/>
          <w:b/>
          <w:bCs/>
          <w:kern w:val="0"/>
          <w:sz w:val="24"/>
          <w:szCs w:val="24"/>
          <w:highlight w:val="none"/>
          <w:lang w:val="en-US" w:eastAsia="zh-CN"/>
        </w:rPr>
        <w:t>表五：市场营销</w:t>
      </w:r>
      <w:r>
        <w:rPr>
          <w:rFonts w:hint="eastAsia" w:ascii="黑体" w:hAnsi="黑体" w:eastAsia="黑体" w:cs="黑体"/>
          <w:b/>
          <w:bCs/>
          <w:kern w:val="0"/>
          <w:sz w:val="24"/>
          <w:szCs w:val="24"/>
          <w:highlight w:val="none"/>
        </w:rPr>
        <w:t>专业教学进程安排表</w:t>
      </w:r>
    </w:p>
    <w:tbl>
      <w:tblPr>
        <w:tblStyle w:val="13"/>
        <w:tblpPr w:leftFromText="180" w:rightFromText="180" w:vertAnchor="text" w:horzAnchor="page" w:tblpXSpec="center" w:tblpY="127"/>
        <w:tblOverlap w:val="never"/>
        <w:tblW w:w="1016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405"/>
        <w:gridCol w:w="414"/>
        <w:gridCol w:w="414"/>
        <w:gridCol w:w="972"/>
        <w:gridCol w:w="3070"/>
        <w:gridCol w:w="374"/>
        <w:gridCol w:w="374"/>
        <w:gridCol w:w="374"/>
        <w:gridCol w:w="374"/>
        <w:gridCol w:w="374"/>
        <w:gridCol w:w="374"/>
        <w:gridCol w:w="374"/>
        <w:gridCol w:w="374"/>
        <w:gridCol w:w="375"/>
        <w:gridCol w:w="375"/>
        <w:gridCol w:w="375"/>
        <w:gridCol w:w="386"/>
        <w:gridCol w:w="38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405"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课</w:t>
            </w:r>
          </w:p>
          <w:p>
            <w:pPr>
              <w:jc w:val="center"/>
              <w:rPr>
                <w:rFonts w:hint="eastAsia" w:ascii="宋体" w:hAnsi="宋体" w:eastAsia="宋体" w:cs="宋体"/>
                <w:b/>
                <w:bCs/>
                <w:sz w:val="18"/>
                <w:szCs w:val="18"/>
              </w:rPr>
            </w:pPr>
            <w:r>
              <w:rPr>
                <w:rFonts w:hint="eastAsia" w:ascii="宋体" w:hAnsi="宋体" w:eastAsia="宋体" w:cs="宋体"/>
                <w:b/>
                <w:bCs/>
                <w:sz w:val="18"/>
                <w:szCs w:val="18"/>
              </w:rPr>
              <w:t>程</w:t>
            </w:r>
          </w:p>
          <w:p>
            <w:pPr>
              <w:jc w:val="center"/>
              <w:rPr>
                <w:rFonts w:hint="eastAsia" w:ascii="宋体" w:hAnsi="宋体" w:eastAsia="宋体" w:cs="宋体"/>
                <w:b/>
                <w:bCs/>
                <w:sz w:val="18"/>
                <w:szCs w:val="18"/>
              </w:rPr>
            </w:pPr>
            <w:r>
              <w:rPr>
                <w:rFonts w:hint="eastAsia" w:ascii="宋体" w:hAnsi="宋体" w:eastAsia="宋体" w:cs="宋体"/>
                <w:b/>
                <w:bCs/>
                <w:sz w:val="18"/>
                <w:szCs w:val="18"/>
              </w:rPr>
              <w:t>类</w:t>
            </w:r>
          </w:p>
          <w:p>
            <w:pPr>
              <w:jc w:val="center"/>
              <w:rPr>
                <w:rFonts w:hint="eastAsia" w:ascii="宋体" w:hAnsi="宋体" w:eastAsia="宋体" w:cs="宋体"/>
                <w:b/>
                <w:bCs/>
                <w:sz w:val="18"/>
                <w:szCs w:val="18"/>
              </w:rPr>
            </w:pPr>
            <w:r>
              <w:rPr>
                <w:rFonts w:hint="eastAsia" w:ascii="宋体" w:hAnsi="宋体" w:eastAsia="宋体" w:cs="宋体"/>
                <w:b/>
                <w:bCs/>
                <w:sz w:val="18"/>
                <w:szCs w:val="18"/>
              </w:rPr>
              <w:t>别</w:t>
            </w:r>
          </w:p>
        </w:tc>
        <w:tc>
          <w:tcPr>
            <w:tcW w:w="414" w:type="dxa"/>
            <w:vMerge w:val="restart"/>
            <w:tcBorders>
              <w:tl2br w:val="nil"/>
              <w:tr2bl w:val="nil"/>
            </w:tcBorders>
            <w:vAlign w:val="center"/>
          </w:tcPr>
          <w:p>
            <w:pPr>
              <w:jc w:val="center"/>
              <w:rPr>
                <w:rFonts w:hint="eastAsia" w:ascii="宋体" w:hAnsi="宋体" w:cs="宋体"/>
                <w:b/>
                <w:bCs/>
                <w:sz w:val="18"/>
                <w:szCs w:val="18"/>
                <w:lang w:val="en-US" w:eastAsia="zh-CN"/>
              </w:rPr>
            </w:pPr>
            <w:r>
              <w:rPr>
                <w:rFonts w:hint="eastAsia" w:ascii="宋体" w:hAnsi="宋体" w:cs="宋体"/>
                <w:b/>
                <w:bCs/>
                <w:sz w:val="18"/>
                <w:szCs w:val="18"/>
                <w:lang w:val="en-US" w:eastAsia="zh-CN"/>
              </w:rPr>
              <w:t>课</w:t>
            </w:r>
          </w:p>
          <w:p>
            <w:pPr>
              <w:jc w:val="center"/>
              <w:rPr>
                <w:rFonts w:hint="eastAsia" w:ascii="宋体" w:hAnsi="宋体" w:cs="宋体"/>
                <w:b/>
                <w:bCs/>
                <w:sz w:val="18"/>
                <w:szCs w:val="18"/>
                <w:lang w:val="en-US" w:eastAsia="zh-CN"/>
              </w:rPr>
            </w:pPr>
            <w:r>
              <w:rPr>
                <w:rFonts w:hint="eastAsia" w:ascii="宋体" w:hAnsi="宋体" w:cs="宋体"/>
                <w:b/>
                <w:bCs/>
                <w:sz w:val="18"/>
                <w:szCs w:val="18"/>
                <w:lang w:val="en-US" w:eastAsia="zh-CN"/>
              </w:rPr>
              <w:t>程</w:t>
            </w:r>
          </w:p>
          <w:p>
            <w:pPr>
              <w:jc w:val="center"/>
              <w:rPr>
                <w:rFonts w:hint="eastAsia" w:ascii="宋体" w:hAnsi="宋体" w:cs="宋体"/>
                <w:b/>
                <w:bCs/>
                <w:sz w:val="18"/>
                <w:szCs w:val="18"/>
                <w:lang w:val="en-US" w:eastAsia="zh-CN"/>
              </w:rPr>
            </w:pPr>
            <w:r>
              <w:rPr>
                <w:rFonts w:hint="eastAsia" w:ascii="宋体" w:hAnsi="宋体" w:cs="宋体"/>
                <w:b/>
                <w:bCs/>
                <w:sz w:val="18"/>
                <w:szCs w:val="18"/>
                <w:lang w:val="en-US" w:eastAsia="zh-CN"/>
              </w:rPr>
              <w:t>性</w:t>
            </w:r>
          </w:p>
          <w:p>
            <w:pPr>
              <w:jc w:val="center"/>
              <w:rPr>
                <w:rFonts w:hint="default" w:ascii="宋体" w:hAnsi="宋体" w:eastAsia="宋体" w:cs="宋体"/>
                <w:b/>
                <w:bCs/>
                <w:sz w:val="18"/>
                <w:szCs w:val="18"/>
                <w:lang w:val="en-US" w:eastAsia="zh-CN"/>
              </w:rPr>
            </w:pPr>
            <w:r>
              <w:rPr>
                <w:rFonts w:hint="eastAsia" w:ascii="宋体" w:hAnsi="宋体" w:cs="宋体"/>
                <w:b/>
                <w:bCs/>
                <w:sz w:val="18"/>
                <w:szCs w:val="18"/>
                <w:lang w:val="en-US" w:eastAsia="zh-CN"/>
              </w:rPr>
              <w:t>质</w:t>
            </w:r>
          </w:p>
        </w:tc>
        <w:tc>
          <w:tcPr>
            <w:tcW w:w="41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序</w:t>
            </w:r>
          </w:p>
          <w:p>
            <w:pPr>
              <w:jc w:val="center"/>
              <w:rPr>
                <w:rFonts w:hint="eastAsia" w:ascii="宋体" w:hAnsi="宋体" w:eastAsia="宋体" w:cs="宋体"/>
                <w:b/>
                <w:bCs/>
                <w:sz w:val="18"/>
                <w:szCs w:val="18"/>
              </w:rPr>
            </w:pPr>
            <w:r>
              <w:rPr>
                <w:rFonts w:hint="eastAsia" w:ascii="宋体" w:hAnsi="宋体" w:eastAsia="宋体" w:cs="宋体"/>
                <w:b/>
                <w:bCs/>
                <w:sz w:val="18"/>
                <w:szCs w:val="18"/>
              </w:rPr>
              <w:t>号</w:t>
            </w:r>
          </w:p>
        </w:tc>
        <w:tc>
          <w:tcPr>
            <w:tcW w:w="972"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课程</w:t>
            </w:r>
          </w:p>
          <w:p>
            <w:pPr>
              <w:jc w:val="center"/>
              <w:rPr>
                <w:rFonts w:hint="eastAsia" w:ascii="宋体" w:hAnsi="宋体" w:eastAsia="宋体" w:cs="宋体"/>
                <w:b/>
                <w:bCs/>
                <w:sz w:val="18"/>
                <w:szCs w:val="18"/>
              </w:rPr>
            </w:pPr>
            <w:r>
              <w:rPr>
                <w:rFonts w:hint="eastAsia" w:ascii="宋体" w:hAnsi="宋体" w:eastAsia="宋体" w:cs="宋体"/>
                <w:b/>
                <w:bCs/>
                <w:sz w:val="18"/>
                <w:szCs w:val="18"/>
              </w:rPr>
              <w:t>代码</w:t>
            </w:r>
          </w:p>
        </w:tc>
        <w:tc>
          <w:tcPr>
            <w:tcW w:w="3070"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课 程 名 称</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p>
          <w:p>
            <w:pPr>
              <w:jc w:val="center"/>
              <w:rPr>
                <w:rFonts w:hint="eastAsia" w:ascii="宋体" w:hAnsi="宋体" w:eastAsia="宋体" w:cs="宋体"/>
                <w:b/>
                <w:bCs/>
                <w:sz w:val="18"/>
                <w:szCs w:val="18"/>
              </w:rPr>
            </w:pPr>
            <w:r>
              <w:rPr>
                <w:rFonts w:hint="eastAsia" w:ascii="宋体" w:hAnsi="宋体" w:eastAsia="宋体" w:cs="宋体"/>
                <w:b/>
                <w:bCs/>
                <w:sz w:val="18"/>
                <w:szCs w:val="18"/>
              </w:rPr>
              <w:t>学</w:t>
            </w:r>
          </w:p>
          <w:p>
            <w:pPr>
              <w:jc w:val="center"/>
              <w:rPr>
                <w:rFonts w:hint="eastAsia" w:ascii="宋体" w:hAnsi="宋体" w:eastAsia="宋体" w:cs="宋体"/>
                <w:b/>
                <w:bCs/>
                <w:sz w:val="18"/>
                <w:szCs w:val="18"/>
              </w:rPr>
            </w:pPr>
          </w:p>
          <w:p>
            <w:pPr>
              <w:jc w:val="center"/>
              <w:rPr>
                <w:rFonts w:hint="eastAsia" w:ascii="宋体" w:hAnsi="宋体" w:eastAsia="宋体" w:cs="宋体"/>
                <w:b/>
                <w:bCs/>
                <w:sz w:val="18"/>
                <w:szCs w:val="18"/>
              </w:rPr>
            </w:pPr>
            <w:r>
              <w:rPr>
                <w:rFonts w:hint="eastAsia" w:ascii="宋体" w:hAnsi="宋体" w:eastAsia="宋体" w:cs="宋体"/>
                <w:b/>
                <w:bCs/>
                <w:sz w:val="18"/>
                <w:szCs w:val="18"/>
              </w:rPr>
              <w:t>分</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p>
          <w:p>
            <w:pPr>
              <w:jc w:val="center"/>
              <w:rPr>
                <w:rFonts w:hint="eastAsia" w:ascii="宋体" w:hAnsi="宋体" w:eastAsia="宋体" w:cs="宋体"/>
                <w:b/>
                <w:bCs/>
                <w:sz w:val="18"/>
                <w:szCs w:val="18"/>
              </w:rPr>
            </w:pPr>
            <w:r>
              <w:rPr>
                <w:rFonts w:hint="eastAsia" w:ascii="宋体" w:hAnsi="宋体" w:eastAsia="宋体" w:cs="宋体"/>
                <w:b/>
                <w:bCs/>
                <w:sz w:val="18"/>
                <w:szCs w:val="18"/>
              </w:rPr>
              <w:t>总</w:t>
            </w:r>
          </w:p>
          <w:p>
            <w:pPr>
              <w:jc w:val="center"/>
              <w:rPr>
                <w:rFonts w:hint="eastAsia" w:ascii="宋体" w:hAnsi="宋体" w:eastAsia="宋体" w:cs="宋体"/>
                <w:b/>
                <w:bCs/>
                <w:sz w:val="18"/>
                <w:szCs w:val="18"/>
              </w:rPr>
            </w:pPr>
            <w:r>
              <w:rPr>
                <w:rFonts w:hint="eastAsia" w:ascii="宋体" w:hAnsi="宋体" w:eastAsia="宋体" w:cs="宋体"/>
                <w:b/>
                <w:bCs/>
                <w:sz w:val="18"/>
                <w:szCs w:val="18"/>
              </w:rPr>
              <w:t>学</w:t>
            </w:r>
          </w:p>
          <w:p>
            <w:pPr>
              <w:jc w:val="center"/>
              <w:rPr>
                <w:rFonts w:hint="eastAsia" w:ascii="宋体" w:hAnsi="宋体" w:eastAsia="宋体" w:cs="宋体"/>
                <w:b/>
                <w:bCs/>
                <w:sz w:val="18"/>
                <w:szCs w:val="18"/>
              </w:rPr>
            </w:pPr>
            <w:r>
              <w:rPr>
                <w:rFonts w:hint="eastAsia" w:ascii="宋体" w:hAnsi="宋体" w:eastAsia="宋体" w:cs="宋体"/>
                <w:b/>
                <w:bCs/>
                <w:sz w:val="18"/>
                <w:szCs w:val="18"/>
              </w:rPr>
              <w:t>时</w:t>
            </w:r>
          </w:p>
        </w:tc>
        <w:tc>
          <w:tcPr>
            <w:tcW w:w="2994" w:type="dxa"/>
            <w:gridSpan w:val="8"/>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各学期学时分配</w:t>
            </w:r>
          </w:p>
        </w:tc>
        <w:tc>
          <w:tcPr>
            <w:tcW w:w="1147" w:type="dxa"/>
            <w:gridSpan w:val="3"/>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考核</w:t>
            </w:r>
          </w:p>
          <w:p>
            <w:pPr>
              <w:jc w:val="center"/>
              <w:rPr>
                <w:rFonts w:hint="eastAsia" w:ascii="宋体" w:hAnsi="宋体" w:eastAsia="宋体" w:cs="宋体"/>
                <w:b/>
                <w:bCs/>
                <w:sz w:val="18"/>
                <w:szCs w:val="18"/>
              </w:rPr>
            </w:pPr>
            <w:r>
              <w:rPr>
                <w:rFonts w:hint="eastAsia" w:ascii="宋体" w:hAnsi="宋体" w:eastAsia="宋体" w:cs="宋体"/>
                <w:b/>
                <w:bCs/>
                <w:sz w:val="18"/>
                <w:szCs w:val="18"/>
              </w:rPr>
              <w:t>方式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2" w:hRule="atLeast"/>
          <w:jc w:val="center"/>
        </w:trPr>
        <w:tc>
          <w:tcPr>
            <w:tcW w:w="405" w:type="dxa"/>
            <w:vMerge w:val="continue"/>
            <w:tcBorders>
              <w:tl2br w:val="nil"/>
              <w:tr2bl w:val="nil"/>
            </w:tcBorders>
            <w:vAlign w:val="center"/>
          </w:tcPr>
          <w:p>
            <w:pPr>
              <w:jc w:val="center"/>
              <w:rPr>
                <w:rFonts w:hint="eastAsia" w:ascii="宋体" w:hAnsi="宋体" w:eastAsia="宋体" w:cs="宋体"/>
                <w:b/>
                <w:bCs/>
                <w:sz w:val="18"/>
                <w:szCs w:val="18"/>
              </w:rPr>
            </w:pPr>
          </w:p>
        </w:tc>
        <w:tc>
          <w:tcPr>
            <w:tcW w:w="414" w:type="dxa"/>
            <w:vMerge w:val="continue"/>
            <w:tcBorders>
              <w:tl2br w:val="nil"/>
              <w:tr2bl w:val="nil"/>
            </w:tcBorders>
            <w:vAlign w:val="center"/>
          </w:tcPr>
          <w:p>
            <w:pPr>
              <w:jc w:val="center"/>
              <w:rPr>
                <w:rFonts w:hint="eastAsia" w:ascii="宋体" w:hAnsi="宋体" w:eastAsia="宋体" w:cs="宋体"/>
                <w:b/>
                <w:bCs/>
                <w:sz w:val="18"/>
                <w:szCs w:val="18"/>
              </w:rPr>
            </w:pPr>
          </w:p>
        </w:tc>
        <w:tc>
          <w:tcPr>
            <w:tcW w:w="414" w:type="dxa"/>
            <w:vMerge w:val="continue"/>
            <w:tcBorders>
              <w:tl2br w:val="nil"/>
              <w:tr2bl w:val="nil"/>
            </w:tcBorders>
            <w:vAlign w:val="center"/>
          </w:tcPr>
          <w:p>
            <w:pPr>
              <w:jc w:val="center"/>
              <w:rPr>
                <w:rFonts w:hint="eastAsia" w:ascii="宋体" w:hAnsi="宋体" w:eastAsia="宋体" w:cs="宋体"/>
                <w:b/>
                <w:bCs/>
                <w:sz w:val="18"/>
                <w:szCs w:val="18"/>
              </w:rPr>
            </w:pPr>
          </w:p>
        </w:tc>
        <w:tc>
          <w:tcPr>
            <w:tcW w:w="972" w:type="dxa"/>
            <w:vMerge w:val="continue"/>
            <w:tcBorders>
              <w:tl2br w:val="nil"/>
              <w:tr2bl w:val="nil"/>
            </w:tcBorders>
            <w:vAlign w:val="center"/>
          </w:tcPr>
          <w:p>
            <w:pPr>
              <w:jc w:val="center"/>
              <w:rPr>
                <w:rFonts w:hint="eastAsia" w:ascii="宋体" w:hAnsi="宋体" w:eastAsia="宋体" w:cs="宋体"/>
                <w:b/>
                <w:bCs/>
                <w:sz w:val="18"/>
                <w:szCs w:val="18"/>
              </w:rPr>
            </w:pPr>
          </w:p>
        </w:tc>
        <w:tc>
          <w:tcPr>
            <w:tcW w:w="3070"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线</w:t>
            </w:r>
          </w:p>
          <w:p>
            <w:pPr>
              <w:jc w:val="center"/>
              <w:rPr>
                <w:rFonts w:hint="eastAsia" w:ascii="宋体" w:hAnsi="宋体" w:eastAsia="宋体" w:cs="宋体"/>
                <w:b/>
                <w:bCs/>
                <w:sz w:val="18"/>
                <w:szCs w:val="18"/>
              </w:rPr>
            </w:pPr>
            <w:r>
              <w:rPr>
                <w:rFonts w:hint="eastAsia" w:ascii="宋体" w:hAnsi="宋体" w:eastAsia="宋体" w:cs="宋体"/>
                <w:b/>
                <w:bCs/>
                <w:sz w:val="18"/>
                <w:szCs w:val="18"/>
              </w:rPr>
              <w:t>上</w:t>
            </w:r>
          </w:p>
          <w:p>
            <w:pPr>
              <w:jc w:val="center"/>
              <w:rPr>
                <w:rFonts w:hint="eastAsia" w:ascii="宋体" w:hAnsi="宋体" w:eastAsia="宋体" w:cs="宋体"/>
                <w:b/>
                <w:bCs/>
                <w:sz w:val="18"/>
                <w:szCs w:val="18"/>
              </w:rPr>
            </w:pPr>
            <w:r>
              <w:rPr>
                <w:rFonts w:hint="eastAsia" w:ascii="宋体" w:hAnsi="宋体" w:eastAsia="宋体" w:cs="宋体"/>
                <w:b/>
                <w:bCs/>
                <w:sz w:val="18"/>
                <w:szCs w:val="18"/>
              </w:rPr>
              <w:t>教</w:t>
            </w:r>
          </w:p>
          <w:p>
            <w:pPr>
              <w:jc w:val="center"/>
              <w:rPr>
                <w:rFonts w:hint="eastAsia" w:ascii="宋体" w:hAnsi="宋体" w:eastAsia="宋体" w:cs="宋体"/>
                <w:b/>
                <w:bCs/>
                <w:sz w:val="18"/>
                <w:szCs w:val="18"/>
              </w:rPr>
            </w:pPr>
            <w:r>
              <w:rPr>
                <w:rFonts w:hint="eastAsia" w:ascii="宋体" w:hAnsi="宋体" w:eastAsia="宋体" w:cs="宋体"/>
                <w:b/>
                <w:bCs/>
                <w:sz w:val="18"/>
                <w:szCs w:val="18"/>
              </w:rPr>
              <w:t>学</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线</w:t>
            </w:r>
          </w:p>
          <w:p>
            <w:pPr>
              <w:jc w:val="center"/>
              <w:rPr>
                <w:rFonts w:hint="eastAsia" w:ascii="宋体" w:hAnsi="宋体" w:eastAsia="宋体" w:cs="宋体"/>
                <w:b/>
                <w:bCs/>
                <w:sz w:val="18"/>
                <w:szCs w:val="18"/>
              </w:rPr>
            </w:pPr>
            <w:r>
              <w:rPr>
                <w:rFonts w:hint="eastAsia" w:ascii="宋体" w:hAnsi="宋体" w:eastAsia="宋体" w:cs="宋体"/>
                <w:b/>
                <w:bCs/>
                <w:sz w:val="18"/>
                <w:szCs w:val="18"/>
              </w:rPr>
              <w:t>下</w:t>
            </w:r>
          </w:p>
          <w:p>
            <w:pPr>
              <w:jc w:val="center"/>
              <w:rPr>
                <w:rFonts w:hint="eastAsia" w:ascii="宋体" w:hAnsi="宋体" w:eastAsia="宋体" w:cs="宋体"/>
                <w:b/>
                <w:bCs/>
                <w:sz w:val="18"/>
                <w:szCs w:val="18"/>
              </w:rPr>
            </w:pPr>
            <w:r>
              <w:rPr>
                <w:rFonts w:hint="eastAsia" w:ascii="宋体" w:hAnsi="宋体" w:eastAsia="宋体" w:cs="宋体"/>
                <w:b/>
                <w:bCs/>
                <w:sz w:val="18"/>
                <w:szCs w:val="18"/>
              </w:rPr>
              <w:t>教</w:t>
            </w:r>
          </w:p>
          <w:p>
            <w:pPr>
              <w:jc w:val="center"/>
              <w:rPr>
                <w:rFonts w:hint="eastAsia" w:ascii="宋体" w:hAnsi="宋体" w:eastAsia="宋体" w:cs="宋体"/>
                <w:b/>
                <w:bCs/>
                <w:sz w:val="18"/>
                <w:szCs w:val="18"/>
              </w:rPr>
            </w:pPr>
            <w:r>
              <w:rPr>
                <w:rFonts w:hint="eastAsia" w:ascii="宋体" w:hAnsi="宋体" w:eastAsia="宋体" w:cs="宋体"/>
                <w:b/>
                <w:bCs/>
                <w:sz w:val="18"/>
                <w:szCs w:val="18"/>
              </w:rPr>
              <w:t>学</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实</w:t>
            </w:r>
          </w:p>
          <w:p>
            <w:pPr>
              <w:jc w:val="center"/>
              <w:rPr>
                <w:rFonts w:hint="eastAsia" w:ascii="宋体" w:hAnsi="宋体" w:eastAsia="宋体" w:cs="宋体"/>
                <w:b/>
                <w:bCs/>
                <w:sz w:val="18"/>
                <w:szCs w:val="18"/>
              </w:rPr>
            </w:pPr>
            <w:r>
              <w:rPr>
                <w:rFonts w:hint="eastAsia" w:ascii="宋体" w:hAnsi="宋体" w:eastAsia="宋体" w:cs="宋体"/>
                <w:b/>
                <w:bCs/>
                <w:sz w:val="18"/>
                <w:szCs w:val="18"/>
              </w:rPr>
              <w:t>验</w:t>
            </w:r>
          </w:p>
          <w:p>
            <w:pPr>
              <w:jc w:val="center"/>
              <w:rPr>
                <w:rFonts w:hint="eastAsia" w:ascii="宋体" w:hAnsi="宋体" w:eastAsia="宋体" w:cs="宋体"/>
                <w:b/>
                <w:bCs/>
                <w:sz w:val="18"/>
                <w:szCs w:val="18"/>
              </w:rPr>
            </w:pPr>
            <w:r>
              <w:rPr>
                <w:rFonts w:hint="eastAsia" w:ascii="宋体" w:hAnsi="宋体" w:eastAsia="宋体" w:cs="宋体"/>
                <w:b/>
                <w:bCs/>
                <w:sz w:val="18"/>
                <w:szCs w:val="18"/>
              </w:rPr>
              <w:t>实</w:t>
            </w:r>
          </w:p>
          <w:p>
            <w:pPr>
              <w:jc w:val="center"/>
              <w:rPr>
                <w:rFonts w:hint="eastAsia" w:ascii="宋体" w:hAnsi="宋体" w:eastAsia="宋体" w:cs="宋体"/>
                <w:b/>
                <w:bCs/>
                <w:sz w:val="18"/>
                <w:szCs w:val="18"/>
              </w:rPr>
            </w:pPr>
            <w:r>
              <w:rPr>
                <w:rFonts w:hint="eastAsia" w:ascii="宋体" w:hAnsi="宋体" w:eastAsia="宋体" w:cs="宋体"/>
                <w:b/>
                <w:bCs/>
                <w:sz w:val="18"/>
                <w:szCs w:val="18"/>
              </w:rPr>
              <w:t>训</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一</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二</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三</w:t>
            </w:r>
          </w:p>
        </w:tc>
        <w:tc>
          <w:tcPr>
            <w:tcW w:w="375"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四</w:t>
            </w:r>
          </w:p>
        </w:tc>
        <w:tc>
          <w:tcPr>
            <w:tcW w:w="375"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五</w:t>
            </w:r>
          </w:p>
        </w:tc>
        <w:tc>
          <w:tcPr>
            <w:tcW w:w="375"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过</w:t>
            </w:r>
          </w:p>
          <w:p>
            <w:pPr>
              <w:jc w:val="center"/>
              <w:rPr>
                <w:rFonts w:hint="eastAsia" w:ascii="宋体" w:hAnsi="宋体" w:eastAsia="宋体" w:cs="宋体"/>
                <w:b/>
                <w:bCs/>
                <w:sz w:val="18"/>
                <w:szCs w:val="18"/>
              </w:rPr>
            </w:pPr>
            <w:r>
              <w:rPr>
                <w:rFonts w:hint="eastAsia" w:ascii="宋体" w:hAnsi="宋体" w:eastAsia="宋体" w:cs="宋体"/>
                <w:b/>
                <w:bCs/>
                <w:sz w:val="18"/>
                <w:szCs w:val="18"/>
              </w:rPr>
              <w:t>程</w:t>
            </w:r>
          </w:p>
          <w:p>
            <w:pPr>
              <w:jc w:val="center"/>
              <w:rPr>
                <w:rFonts w:hint="eastAsia" w:ascii="宋体" w:hAnsi="宋体" w:eastAsia="宋体" w:cs="宋体"/>
                <w:b/>
                <w:bCs/>
                <w:sz w:val="18"/>
                <w:szCs w:val="18"/>
              </w:rPr>
            </w:pPr>
            <w:r>
              <w:rPr>
                <w:rFonts w:hint="eastAsia" w:ascii="宋体" w:hAnsi="宋体" w:eastAsia="宋体" w:cs="宋体"/>
                <w:b/>
                <w:bCs/>
                <w:sz w:val="18"/>
                <w:szCs w:val="18"/>
              </w:rPr>
              <w:t>性</w:t>
            </w:r>
          </w:p>
          <w:p>
            <w:pPr>
              <w:jc w:val="center"/>
              <w:rPr>
                <w:rFonts w:hint="eastAsia" w:ascii="宋体" w:hAnsi="宋体" w:eastAsia="宋体" w:cs="宋体"/>
                <w:b/>
                <w:bCs/>
                <w:sz w:val="18"/>
                <w:szCs w:val="18"/>
              </w:rPr>
            </w:pPr>
            <w:r>
              <w:rPr>
                <w:rFonts w:hint="eastAsia" w:ascii="宋体" w:hAnsi="宋体" w:eastAsia="宋体" w:cs="宋体"/>
                <w:b/>
                <w:bCs/>
                <w:sz w:val="18"/>
                <w:szCs w:val="18"/>
              </w:rPr>
              <w:t>考</w:t>
            </w:r>
          </w:p>
          <w:p>
            <w:pPr>
              <w:jc w:val="center"/>
              <w:rPr>
                <w:rFonts w:hint="eastAsia" w:ascii="宋体" w:hAnsi="宋体" w:eastAsia="宋体" w:cs="宋体"/>
                <w:b/>
                <w:bCs/>
                <w:sz w:val="18"/>
                <w:szCs w:val="18"/>
              </w:rPr>
            </w:pPr>
            <w:r>
              <w:rPr>
                <w:rFonts w:hint="eastAsia" w:ascii="宋体" w:hAnsi="宋体" w:eastAsia="宋体" w:cs="宋体"/>
                <w:b/>
                <w:bCs/>
                <w:sz w:val="18"/>
                <w:szCs w:val="18"/>
              </w:rPr>
              <w:t>核</w:t>
            </w:r>
          </w:p>
        </w:tc>
        <w:tc>
          <w:tcPr>
            <w:tcW w:w="772" w:type="dxa"/>
            <w:gridSpan w:val="2"/>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终结性</w:t>
            </w:r>
          </w:p>
          <w:p>
            <w:pPr>
              <w:jc w:val="center"/>
              <w:rPr>
                <w:rFonts w:hint="eastAsia" w:ascii="宋体" w:hAnsi="宋体" w:eastAsia="宋体" w:cs="宋体"/>
                <w:b/>
                <w:bCs/>
                <w:sz w:val="18"/>
                <w:szCs w:val="18"/>
              </w:rPr>
            </w:pPr>
            <w:r>
              <w:rPr>
                <w:rFonts w:hint="eastAsia" w:ascii="宋体" w:hAnsi="宋体" w:eastAsia="宋体" w:cs="宋体"/>
                <w:b/>
                <w:bCs/>
                <w:sz w:val="18"/>
                <w:szCs w:val="18"/>
              </w:rPr>
              <w:t>考核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405" w:type="dxa"/>
            <w:vMerge w:val="continue"/>
            <w:tcBorders>
              <w:tl2br w:val="nil"/>
              <w:tr2bl w:val="nil"/>
            </w:tcBorders>
            <w:vAlign w:val="center"/>
          </w:tcPr>
          <w:p>
            <w:pPr>
              <w:jc w:val="center"/>
              <w:rPr>
                <w:rFonts w:hint="eastAsia" w:ascii="宋体" w:hAnsi="宋体" w:eastAsia="宋体" w:cs="宋体"/>
                <w:b/>
                <w:bCs/>
                <w:sz w:val="18"/>
                <w:szCs w:val="18"/>
              </w:rPr>
            </w:pPr>
          </w:p>
        </w:tc>
        <w:tc>
          <w:tcPr>
            <w:tcW w:w="414" w:type="dxa"/>
            <w:vMerge w:val="continue"/>
            <w:tcBorders>
              <w:tl2br w:val="nil"/>
              <w:tr2bl w:val="nil"/>
            </w:tcBorders>
            <w:vAlign w:val="center"/>
          </w:tcPr>
          <w:p>
            <w:pPr>
              <w:jc w:val="center"/>
              <w:rPr>
                <w:rFonts w:hint="eastAsia" w:ascii="宋体" w:hAnsi="宋体" w:eastAsia="宋体" w:cs="宋体"/>
                <w:b/>
                <w:bCs/>
                <w:sz w:val="18"/>
                <w:szCs w:val="18"/>
              </w:rPr>
            </w:pPr>
          </w:p>
        </w:tc>
        <w:tc>
          <w:tcPr>
            <w:tcW w:w="414" w:type="dxa"/>
            <w:vMerge w:val="continue"/>
            <w:tcBorders>
              <w:tl2br w:val="nil"/>
              <w:tr2bl w:val="nil"/>
            </w:tcBorders>
            <w:vAlign w:val="center"/>
          </w:tcPr>
          <w:p>
            <w:pPr>
              <w:jc w:val="center"/>
              <w:rPr>
                <w:rFonts w:hint="eastAsia" w:ascii="宋体" w:hAnsi="宋体" w:eastAsia="宋体" w:cs="宋体"/>
                <w:b/>
                <w:bCs/>
                <w:sz w:val="18"/>
                <w:szCs w:val="18"/>
              </w:rPr>
            </w:pPr>
          </w:p>
        </w:tc>
        <w:tc>
          <w:tcPr>
            <w:tcW w:w="972" w:type="dxa"/>
            <w:vMerge w:val="continue"/>
            <w:tcBorders>
              <w:tl2br w:val="nil"/>
              <w:tr2bl w:val="nil"/>
            </w:tcBorders>
            <w:vAlign w:val="center"/>
          </w:tcPr>
          <w:p>
            <w:pPr>
              <w:jc w:val="center"/>
              <w:rPr>
                <w:rFonts w:hint="eastAsia" w:ascii="宋体" w:hAnsi="宋体" w:eastAsia="宋体" w:cs="宋体"/>
                <w:b/>
                <w:bCs/>
                <w:sz w:val="18"/>
                <w:szCs w:val="18"/>
              </w:rPr>
            </w:pPr>
          </w:p>
        </w:tc>
        <w:tc>
          <w:tcPr>
            <w:tcW w:w="3070"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5" w:type="dxa"/>
            <w:vMerge w:val="continue"/>
            <w:tcBorders>
              <w:tl2br w:val="nil"/>
              <w:tr2bl w:val="nil"/>
            </w:tcBorders>
            <w:vAlign w:val="center"/>
          </w:tcPr>
          <w:p>
            <w:pPr>
              <w:jc w:val="center"/>
              <w:rPr>
                <w:rFonts w:hint="eastAsia" w:ascii="宋体" w:hAnsi="宋体" w:eastAsia="宋体" w:cs="宋体"/>
                <w:b/>
                <w:bCs/>
                <w:sz w:val="18"/>
                <w:szCs w:val="18"/>
              </w:rPr>
            </w:pPr>
          </w:p>
        </w:tc>
        <w:tc>
          <w:tcPr>
            <w:tcW w:w="375" w:type="dxa"/>
            <w:vMerge w:val="continue"/>
            <w:tcBorders>
              <w:tl2br w:val="nil"/>
              <w:tr2bl w:val="nil"/>
            </w:tcBorders>
            <w:vAlign w:val="center"/>
          </w:tcPr>
          <w:p>
            <w:pPr>
              <w:jc w:val="center"/>
              <w:rPr>
                <w:rFonts w:hint="eastAsia" w:ascii="宋体" w:hAnsi="宋体" w:eastAsia="宋体" w:cs="宋体"/>
                <w:b/>
                <w:bCs/>
                <w:sz w:val="18"/>
                <w:szCs w:val="18"/>
              </w:rPr>
            </w:pPr>
          </w:p>
        </w:tc>
        <w:tc>
          <w:tcPr>
            <w:tcW w:w="375" w:type="dxa"/>
            <w:vMerge w:val="continue"/>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闭卷</w:t>
            </w:r>
          </w:p>
        </w:tc>
        <w:tc>
          <w:tcPr>
            <w:tcW w:w="386" w:type="dxa"/>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开卷</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spacing w:line="280" w:lineRule="exact"/>
              <w:jc w:val="center"/>
              <w:rPr>
                <w:rFonts w:hint="eastAsia" w:ascii="宋体" w:hAnsi="宋体" w:eastAsia="宋体" w:cs="宋体"/>
                <w:sz w:val="18"/>
                <w:szCs w:val="18"/>
              </w:rPr>
            </w:pPr>
            <w:bookmarkStart w:id="0" w:name="_Hlk263065686"/>
            <w:r>
              <w:rPr>
                <w:rFonts w:hint="eastAsia" w:ascii="宋体" w:hAnsi="宋体" w:eastAsia="宋体" w:cs="宋体"/>
                <w:sz w:val="18"/>
                <w:szCs w:val="18"/>
              </w:rPr>
              <w:t>通</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识</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教</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育</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课</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程</w:t>
            </w:r>
          </w:p>
        </w:tc>
        <w:tc>
          <w:tcPr>
            <w:tcW w:w="414" w:type="dxa"/>
            <w:vMerge w:val="restart"/>
            <w:tcBorders>
              <w:tl2br w:val="nil"/>
              <w:tr2bl w:val="nil"/>
            </w:tcBorders>
            <w:vAlign w:val="center"/>
          </w:tcPr>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思</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想</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政</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治</w:t>
            </w:r>
          </w:p>
          <w:p>
            <w:pPr>
              <w:spacing w:line="280" w:lineRule="exact"/>
              <w:jc w:val="center"/>
              <w:rPr>
                <w:rFonts w:hint="eastAsia" w:ascii="宋体" w:hAnsi="宋体" w:eastAsia="宋体" w:cs="宋体"/>
                <w:sz w:val="18"/>
                <w:szCs w:val="18"/>
                <w:lang w:eastAsia="zh-CN"/>
              </w:rPr>
            </w:pPr>
            <w:r>
              <w:rPr>
                <w:rFonts w:hint="eastAsia" w:ascii="宋体" w:hAnsi="宋体" w:cs="宋体"/>
                <w:sz w:val="18"/>
                <w:szCs w:val="18"/>
                <w:lang w:val="en-US" w:eastAsia="zh-CN"/>
              </w:rPr>
              <w:t>·</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必</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0299053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思想道德与法治</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p>
        </w:tc>
      </w:tr>
      <w:bookmarkEnd w:id="0"/>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2</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0200073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中国近代史纲要</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0200064</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形势与政策Ⅰ</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0.5</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0200013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马克思主义基本原理概论</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08170001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spacing w:val="-17"/>
                <w:kern w:val="0"/>
                <w:sz w:val="18"/>
                <w:szCs w:val="18"/>
                <w:u w:val="none"/>
                <w:lang w:val="en-US" w:eastAsia="zh-CN" w:bidi="ar"/>
              </w:rPr>
              <w:t>毛泽东思想与中国特色社会主义理论体系概论</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6</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0200065</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形势与政策Ⅱ</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0.5</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7</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08170002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spacing w:val="-6"/>
                <w:kern w:val="0"/>
                <w:sz w:val="18"/>
                <w:szCs w:val="18"/>
                <w:u w:val="none"/>
                <w:lang w:val="en-US" w:eastAsia="zh-CN" w:bidi="ar"/>
              </w:rPr>
              <w:t>习近平新时代中国特色社会主义思想概论</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0200066</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形势与政策Ⅲ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0.5</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9</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0200067</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形势与政策Ⅳ</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0.5</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9</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restart"/>
            <w:tcBorders>
              <w:tl2br w:val="nil"/>
              <w:tr2bl w:val="nil"/>
            </w:tcBorders>
            <w:vAlign w:val="center"/>
          </w:tcPr>
          <w:p>
            <w:pPr>
              <w:spacing w:line="280" w:lineRule="exact"/>
              <w:jc w:val="center"/>
              <w:rPr>
                <w:rFonts w:hint="eastAsia" w:ascii="宋体" w:hAnsi="宋体" w:cs="宋体"/>
                <w:sz w:val="16"/>
                <w:szCs w:val="16"/>
                <w:lang w:val="en-US" w:eastAsia="zh-CN"/>
              </w:rPr>
            </w:pPr>
            <w:r>
              <w:rPr>
                <w:rFonts w:hint="eastAsia" w:ascii="宋体" w:hAnsi="宋体" w:cs="宋体"/>
                <w:sz w:val="16"/>
                <w:szCs w:val="16"/>
                <w:lang w:val="en-US" w:eastAsia="zh-CN"/>
              </w:rPr>
              <w:t>思想政治</w:t>
            </w:r>
          </w:p>
          <w:p>
            <w:pPr>
              <w:spacing w:line="280" w:lineRule="exact"/>
              <w:jc w:val="center"/>
              <w:rPr>
                <w:rFonts w:hint="eastAsia" w:ascii="宋体" w:hAnsi="宋体" w:cs="宋体"/>
                <w:sz w:val="16"/>
                <w:szCs w:val="16"/>
                <w:lang w:val="en-US" w:eastAsia="zh-CN"/>
              </w:rPr>
            </w:pPr>
            <w:r>
              <w:rPr>
                <w:rFonts w:hint="eastAsia" w:ascii="宋体" w:hAnsi="宋体" w:cs="宋体"/>
                <w:sz w:val="16"/>
                <w:szCs w:val="16"/>
                <w:lang w:val="en-US" w:eastAsia="zh-CN"/>
              </w:rPr>
              <w:t>·</w:t>
            </w:r>
          </w:p>
          <w:p>
            <w:pPr>
              <w:spacing w:line="280" w:lineRule="exact"/>
              <w:jc w:val="center"/>
              <w:rPr>
                <w:rFonts w:hint="default" w:ascii="宋体" w:hAnsi="宋体" w:eastAsia="宋体" w:cs="宋体"/>
                <w:sz w:val="18"/>
                <w:szCs w:val="18"/>
                <w:lang w:val="en-US" w:eastAsia="zh-CN"/>
              </w:rPr>
            </w:pPr>
            <w:r>
              <w:rPr>
                <w:rFonts w:hint="eastAsia" w:ascii="宋体" w:hAnsi="宋体" w:cs="宋体"/>
                <w:sz w:val="16"/>
                <w:szCs w:val="16"/>
                <w:lang w:val="en-US" w:eastAsia="zh-CN"/>
              </w:rPr>
              <w:t>限选</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10</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08060001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党史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11</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08060001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新中国史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12</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08060001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改革开放史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13</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08060001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社会主义发展史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100" w:lineRule="exact"/>
              <w:jc w:val="center"/>
              <w:textAlignment w:val="auto"/>
              <w:rPr>
                <w:rFonts w:hint="eastAsia" w:ascii="宋体" w:hAnsi="宋体" w:eastAsia="宋体" w:cs="宋体"/>
                <w:sz w:val="10"/>
                <w:szCs w:val="10"/>
              </w:rPr>
            </w:pPr>
            <w:r>
              <w:rPr>
                <w:rFonts w:hint="eastAsia" w:ascii="宋体" w:hAnsi="宋体" w:eastAsia="宋体" w:cs="宋体"/>
                <w:sz w:val="10"/>
                <w:szCs w:val="10"/>
              </w:rPr>
              <w:t>运动与健</w:t>
            </w:r>
          </w:p>
          <w:p>
            <w:pPr>
              <w:keepNext w:val="0"/>
              <w:keepLines w:val="0"/>
              <w:pageBreakBefore w:val="0"/>
              <w:widowControl w:val="0"/>
              <w:kinsoku/>
              <w:wordWrap/>
              <w:overflowPunct/>
              <w:topLinePunct w:val="0"/>
              <w:autoSpaceDE/>
              <w:autoSpaceDN/>
              <w:bidi w:val="0"/>
              <w:adjustRightInd/>
              <w:snapToGrid/>
              <w:spacing w:line="100" w:lineRule="exact"/>
              <w:jc w:val="center"/>
              <w:textAlignment w:val="auto"/>
              <w:rPr>
                <w:rFonts w:hint="eastAsia" w:ascii="宋体" w:hAnsi="宋体" w:eastAsia="宋体" w:cs="宋体"/>
                <w:sz w:val="10"/>
                <w:szCs w:val="10"/>
              </w:rPr>
            </w:pPr>
            <w:r>
              <w:rPr>
                <w:rFonts w:hint="eastAsia" w:ascii="宋体" w:hAnsi="宋体" w:eastAsia="宋体" w:cs="宋体"/>
                <w:sz w:val="10"/>
                <w:szCs w:val="10"/>
              </w:rPr>
              <w:t>康</w:t>
            </w:r>
            <w:r>
              <w:rPr>
                <w:rFonts w:hint="eastAsia" w:ascii="宋体" w:hAnsi="宋体" w:cs="宋体"/>
                <w:sz w:val="10"/>
                <w:szCs w:val="10"/>
                <w:lang w:val="en-US" w:eastAsia="zh-CN"/>
              </w:rPr>
              <w:t>·</w:t>
            </w:r>
            <w:r>
              <w:rPr>
                <w:rFonts w:hint="eastAsia" w:ascii="宋体" w:hAnsi="宋体" w:eastAsia="宋体" w:cs="宋体"/>
                <w:sz w:val="10"/>
                <w:szCs w:val="10"/>
              </w:rPr>
              <w:t>必修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14</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0400162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心理健康</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eastAsia" w:ascii="宋体" w:hAnsi="宋体" w:eastAsia="宋体" w:cs="宋体"/>
                <w:sz w:val="10"/>
                <w:szCs w:val="10"/>
              </w:rPr>
            </w:pPr>
            <w:r>
              <w:rPr>
                <w:rFonts w:hint="eastAsia" w:ascii="宋体" w:hAnsi="宋体" w:eastAsia="宋体" w:cs="宋体"/>
                <w:sz w:val="10"/>
                <w:szCs w:val="10"/>
              </w:rPr>
              <w:t>自然与科</w:t>
            </w:r>
          </w:p>
          <w:p>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eastAsia" w:ascii="宋体" w:hAnsi="宋体" w:eastAsia="宋体" w:cs="宋体"/>
                <w:sz w:val="8"/>
                <w:szCs w:val="8"/>
              </w:rPr>
            </w:pPr>
            <w:r>
              <w:rPr>
                <w:rFonts w:hint="eastAsia" w:ascii="宋体" w:hAnsi="宋体" w:eastAsia="宋体" w:cs="宋体"/>
                <w:sz w:val="10"/>
                <w:szCs w:val="10"/>
              </w:rPr>
              <w:t>技</w:t>
            </w:r>
            <w:r>
              <w:rPr>
                <w:rFonts w:hint="eastAsia" w:ascii="宋体" w:hAnsi="宋体" w:cs="宋体"/>
                <w:sz w:val="10"/>
                <w:szCs w:val="10"/>
                <w:lang w:val="en-US" w:eastAsia="zh-CN"/>
              </w:rPr>
              <w:t>·</w:t>
            </w:r>
            <w:r>
              <w:rPr>
                <w:rFonts w:hint="eastAsia" w:ascii="宋体" w:hAnsi="宋体" w:eastAsia="宋体" w:cs="宋体"/>
                <w:sz w:val="10"/>
                <w:szCs w:val="10"/>
              </w:rPr>
              <w:t>必修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15</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0200212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计算机应用基础</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hint="eastAsia" w:ascii="宋体" w:hAnsi="宋体" w:eastAsia="宋体" w:cs="宋体"/>
                <w:spacing w:val="0"/>
                <w:sz w:val="13"/>
                <w:szCs w:val="13"/>
              </w:rPr>
            </w:pPr>
            <w:r>
              <w:rPr>
                <w:rFonts w:hint="eastAsia" w:ascii="宋体" w:hAnsi="宋体" w:eastAsia="宋体" w:cs="宋体"/>
                <w:spacing w:val="0"/>
                <w:sz w:val="13"/>
                <w:szCs w:val="13"/>
              </w:rPr>
              <w:t>表达</w:t>
            </w:r>
          </w:p>
          <w:p>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hint="eastAsia" w:ascii="宋体" w:hAnsi="宋体" w:eastAsia="宋体" w:cs="宋体"/>
                <w:spacing w:val="0"/>
                <w:sz w:val="13"/>
                <w:szCs w:val="13"/>
              </w:rPr>
            </w:pPr>
            <w:r>
              <w:rPr>
                <w:rFonts w:hint="eastAsia" w:ascii="宋体" w:hAnsi="宋体" w:eastAsia="宋体" w:cs="宋体"/>
                <w:spacing w:val="0"/>
                <w:sz w:val="13"/>
                <w:szCs w:val="13"/>
              </w:rPr>
              <w:t>与沟</w:t>
            </w:r>
          </w:p>
          <w:p>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hint="eastAsia" w:ascii="宋体" w:hAnsi="宋体" w:cs="宋体"/>
                <w:spacing w:val="0"/>
                <w:sz w:val="13"/>
                <w:szCs w:val="13"/>
                <w:lang w:val="en-US" w:eastAsia="zh-CN"/>
              </w:rPr>
            </w:pPr>
            <w:r>
              <w:rPr>
                <w:rFonts w:hint="eastAsia" w:ascii="宋体" w:hAnsi="宋体" w:eastAsia="宋体" w:cs="宋体"/>
                <w:spacing w:val="0"/>
                <w:sz w:val="13"/>
                <w:szCs w:val="13"/>
              </w:rPr>
              <w:t>通</w:t>
            </w:r>
            <w:r>
              <w:rPr>
                <w:rFonts w:hint="eastAsia" w:ascii="宋体" w:hAnsi="宋体" w:cs="宋体"/>
                <w:spacing w:val="0"/>
                <w:sz w:val="13"/>
                <w:szCs w:val="13"/>
                <w:lang w:val="en-US" w:eastAsia="zh-CN"/>
              </w:rPr>
              <w:t>·</w:t>
            </w:r>
          </w:p>
          <w:p>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hint="eastAsia" w:ascii="宋体" w:hAnsi="宋体" w:eastAsia="宋体" w:cs="宋体"/>
                <w:sz w:val="13"/>
                <w:szCs w:val="13"/>
              </w:rPr>
            </w:pPr>
            <w:r>
              <w:rPr>
                <w:rFonts w:hint="eastAsia" w:ascii="宋体" w:hAnsi="宋体" w:eastAsia="宋体" w:cs="宋体"/>
                <w:spacing w:val="0"/>
                <w:sz w:val="13"/>
                <w:szCs w:val="13"/>
              </w:rPr>
              <w:t>必修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16</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0599012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大学英语Ⅰ</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28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17</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0599022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大学英语Ⅱ</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28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val="0"/>
                <w:bCs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val="0"/>
                <w:bCs w:val="0"/>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学</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科</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基</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础</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课</w:t>
            </w:r>
          </w:p>
          <w:p>
            <w:pPr>
              <w:spacing w:line="28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程</w:t>
            </w:r>
          </w:p>
        </w:tc>
        <w:tc>
          <w:tcPr>
            <w:tcW w:w="414"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必</w:t>
            </w:r>
          </w:p>
          <w:p>
            <w:pPr>
              <w:spacing w:line="28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18</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0101033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管理学</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19</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0201013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微观经济学</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20</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0201023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宏观经济学</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21</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0120053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市场营销学</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22</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0202083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统计学</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23</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0220012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会计学</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val="0"/>
                <w:bCs w:val="0"/>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24</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0381813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组织行为学</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专</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业</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课</w:t>
            </w:r>
          </w:p>
          <w:p>
            <w:pPr>
              <w:spacing w:line="280" w:lineRule="exact"/>
              <w:jc w:val="center"/>
              <w:rPr>
                <w:rFonts w:hint="eastAsia" w:ascii="宋体" w:hAnsi="宋体" w:eastAsia="宋体" w:cs="宋体"/>
                <w:sz w:val="18"/>
                <w:szCs w:val="18"/>
              </w:rPr>
            </w:pPr>
            <w:r>
              <w:rPr>
                <w:rFonts w:hint="eastAsia" w:ascii="宋体" w:hAnsi="宋体" w:cs="宋体"/>
                <w:sz w:val="18"/>
                <w:szCs w:val="18"/>
                <w:lang w:val="en-US" w:eastAsia="zh-CN"/>
              </w:rPr>
              <w:t>程</w:t>
            </w:r>
          </w:p>
        </w:tc>
        <w:tc>
          <w:tcPr>
            <w:tcW w:w="414"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必</w:t>
            </w:r>
          </w:p>
          <w:p>
            <w:pPr>
              <w:spacing w:line="280" w:lineRule="exact"/>
              <w:jc w:val="center"/>
              <w:rPr>
                <w:rFonts w:hint="eastAsia" w:ascii="宋体" w:hAnsi="宋体" w:eastAsia="宋体" w:cs="宋体"/>
                <w:sz w:val="18"/>
                <w:szCs w:val="18"/>
              </w:rPr>
            </w:pPr>
            <w:r>
              <w:rPr>
                <w:rFonts w:hint="eastAsia" w:ascii="宋体" w:hAnsi="宋体" w:cs="宋体"/>
                <w:sz w:val="18"/>
                <w:szCs w:val="18"/>
                <w:lang w:val="en-US" w:eastAsia="zh-CN"/>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25</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1106122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营销渠道管理</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26</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1106482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运营管理</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27</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1104523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市场调查与预测</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46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p>
        </w:tc>
        <w:tc>
          <w:tcPr>
            <w:tcW w:w="386" w:type="dxa"/>
            <w:tcBorders>
              <w:tl2br w:val="nil"/>
              <w:tr2bl w:val="nil"/>
            </w:tcBorders>
            <w:vAlign w:val="center"/>
          </w:tcPr>
          <w:p>
            <w:pPr>
              <w:jc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28</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0124032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战略管理</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29</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1184013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消费者行为学</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专</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业</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课</w:t>
            </w:r>
          </w:p>
          <w:p>
            <w:pPr>
              <w:spacing w:line="280" w:lineRule="exact"/>
              <w:jc w:val="center"/>
              <w:rPr>
                <w:rFonts w:hint="eastAsia" w:ascii="宋体" w:hAnsi="宋体" w:eastAsia="宋体" w:cs="宋体"/>
                <w:sz w:val="18"/>
                <w:szCs w:val="18"/>
              </w:rPr>
            </w:pPr>
            <w:r>
              <w:rPr>
                <w:rFonts w:hint="eastAsia" w:ascii="宋体" w:hAnsi="宋体" w:cs="宋体"/>
                <w:sz w:val="18"/>
                <w:szCs w:val="18"/>
                <w:lang w:val="en-US" w:eastAsia="zh-CN"/>
              </w:rPr>
              <w:t>程</w:t>
            </w:r>
          </w:p>
        </w:tc>
        <w:tc>
          <w:tcPr>
            <w:tcW w:w="414"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必</w:t>
            </w:r>
          </w:p>
          <w:p>
            <w:pPr>
              <w:spacing w:line="280" w:lineRule="exact"/>
              <w:jc w:val="center"/>
              <w:rPr>
                <w:rFonts w:hint="eastAsia" w:ascii="宋体" w:hAnsi="宋体" w:eastAsia="宋体" w:cs="宋体"/>
                <w:sz w:val="18"/>
                <w:szCs w:val="18"/>
              </w:rPr>
            </w:pPr>
            <w:r>
              <w:rPr>
                <w:rFonts w:hint="eastAsia" w:ascii="宋体" w:hAnsi="宋体" w:cs="宋体"/>
                <w:sz w:val="18"/>
                <w:szCs w:val="18"/>
                <w:lang w:val="en-US" w:eastAsia="zh-CN"/>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30</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1103952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营销策划</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31</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1103012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网络营销</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32</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1103563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数字营销</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33</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1103842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新媒体营销</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34</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1186242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销售管理</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35</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0121032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客户关系管理</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综</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合</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实</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践</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课</w:t>
            </w:r>
          </w:p>
          <w:p>
            <w:pPr>
              <w:spacing w:line="28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程</w:t>
            </w:r>
          </w:p>
        </w:tc>
        <w:tc>
          <w:tcPr>
            <w:tcW w:w="414"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必</w:t>
            </w:r>
          </w:p>
          <w:p>
            <w:pPr>
              <w:spacing w:line="28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34</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0000112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入学教育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18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18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35</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0000111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劳动教育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36</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0000041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毕业教育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18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18</w:t>
            </w: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37</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0000024</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毕业实习</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72</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72</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72</w:t>
            </w: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38</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0521016</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毕业论文（设计）</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108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108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108</w:t>
            </w: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5275" w:type="dxa"/>
            <w:gridSpan w:val="5"/>
            <w:tcBorders>
              <w:tl2br w:val="nil"/>
              <w:tr2bl w:val="nil"/>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 xml:space="preserve">  合  计</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sz w:val="16"/>
                <w:szCs w:val="16"/>
                <w:lang w:val="en-US" w:eastAsia="zh-CN"/>
              </w:rPr>
            </w:pPr>
            <w:r>
              <w:rPr>
                <w:rFonts w:hint="eastAsia" w:ascii="宋体" w:hAnsi="宋体" w:cs="宋体"/>
                <w:sz w:val="16"/>
                <w:szCs w:val="16"/>
                <w:lang w:val="en-US" w:eastAsia="zh-CN"/>
              </w:rPr>
              <w:t>90</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1620</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1388</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108</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232</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315</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351</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369</w:t>
            </w:r>
          </w:p>
        </w:tc>
        <w:tc>
          <w:tcPr>
            <w:tcW w:w="375"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387</w:t>
            </w:r>
          </w:p>
        </w:tc>
        <w:tc>
          <w:tcPr>
            <w:tcW w:w="375"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198</w:t>
            </w:r>
          </w:p>
        </w:tc>
        <w:tc>
          <w:tcPr>
            <w:tcW w:w="1147" w:type="dxa"/>
            <w:gridSpan w:val="3"/>
            <w:vMerge w:val="restart"/>
            <w:tcBorders>
              <w:tl2br w:val="nil"/>
              <w:tr2bl w:val="nil"/>
            </w:tcBorders>
            <w:vAlign w:val="center"/>
          </w:tcPr>
          <w:p>
            <w:pPr>
              <w:snapToGrid w:val="0"/>
              <w:jc w:val="center"/>
              <w:rPr>
                <w:rFonts w:hint="eastAsia" w:ascii="宋体" w:hAnsi="宋体" w:eastAsia="宋体" w:cs="宋体"/>
                <w:b/>
                <w:bCs/>
                <w:sz w:val="18"/>
                <w:szCs w:val="18"/>
              </w:rPr>
            </w:pPr>
          </w:p>
          <w:p>
            <w:pPr>
              <w:snapToGrid w:val="0"/>
              <w:jc w:val="center"/>
              <w:rPr>
                <w:rFonts w:hint="eastAsia" w:ascii="宋体" w:hAnsi="宋体" w:eastAsia="宋体" w:cs="宋体"/>
                <w:b/>
                <w:bCs/>
                <w:sz w:val="18"/>
                <w:szCs w:val="18"/>
              </w:rPr>
            </w:pPr>
          </w:p>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6023" w:type="dxa"/>
            <w:gridSpan w:val="7"/>
            <w:tcBorders>
              <w:tl2br w:val="nil"/>
              <w:tr2bl w:val="nil"/>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百分比（%）</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79.0</w:t>
            </w:r>
            <w:bookmarkStart w:id="1" w:name="_GoBack"/>
            <w:bookmarkEnd w:id="1"/>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6.7</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14.3</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19.4</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21.7</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22.8</w:t>
            </w:r>
          </w:p>
        </w:tc>
        <w:tc>
          <w:tcPr>
            <w:tcW w:w="375"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23.9</w:t>
            </w:r>
          </w:p>
        </w:tc>
        <w:tc>
          <w:tcPr>
            <w:tcW w:w="375"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12.2</w:t>
            </w:r>
          </w:p>
        </w:tc>
        <w:tc>
          <w:tcPr>
            <w:tcW w:w="1147" w:type="dxa"/>
            <w:gridSpan w:val="3"/>
            <w:vMerge w:val="continue"/>
            <w:tcBorders>
              <w:tl2br w:val="nil"/>
              <w:tr2bl w:val="nil"/>
            </w:tcBorders>
            <w:vAlign w:val="center"/>
          </w:tcPr>
          <w:p>
            <w:pPr>
              <w:jc w:val="center"/>
              <w:rPr>
                <w:rFonts w:hint="eastAsia" w:ascii="宋体" w:hAnsi="宋体" w:eastAsia="宋体" w:cs="宋体"/>
                <w:b/>
                <w:bCs/>
                <w:sz w:val="18"/>
                <w:szCs w:val="18"/>
              </w:rPr>
            </w:pPr>
          </w:p>
        </w:tc>
      </w:tr>
    </w:tbl>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注释：</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1.专业核心课程用*表示；</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rPr>
        <w:t>2.每门课的考核要求见“</w:t>
      </w:r>
      <w:r>
        <w:rPr>
          <w:rFonts w:hint="eastAsia" w:ascii="宋体" w:hAnsi="宋体" w:eastAsia="宋体" w:cs="宋体"/>
          <w:sz w:val="21"/>
          <w:szCs w:val="21"/>
          <w:lang w:val="en-US" w:eastAsia="zh-CN"/>
        </w:rPr>
        <w:t>市场营销</w:t>
      </w:r>
      <w:r>
        <w:rPr>
          <w:rFonts w:hint="eastAsia" w:ascii="宋体" w:hAnsi="宋体" w:eastAsia="宋体" w:cs="宋体"/>
          <w:sz w:val="21"/>
          <w:szCs w:val="21"/>
        </w:rPr>
        <w:t>专业教学进程安排表”，打“√”的为该门课的考核方式</w:t>
      </w:r>
      <w:r>
        <w:rPr>
          <w:rFonts w:hint="eastAsia" w:ascii="宋体" w:hAnsi="宋体" w:eastAsia="宋体" w:cs="宋体"/>
          <w:sz w:val="21"/>
          <w:szCs w:val="21"/>
          <w:lang w:eastAsia="zh-CN"/>
        </w:rPr>
        <w:t>；</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20" w:firstLineChars="200"/>
        <w:textAlignment w:val="auto"/>
        <w:rPr>
          <w:rFonts w:hint="eastAsia"/>
          <w:sz w:val="24"/>
          <w:szCs w:val="24"/>
        </w:rPr>
      </w:pPr>
      <w:r>
        <w:rPr>
          <w:rFonts w:hint="eastAsia" w:ascii="宋体" w:hAnsi="宋体" w:eastAsia="宋体" w:cs="宋体"/>
          <w:sz w:val="21"/>
          <w:szCs w:val="21"/>
          <w:lang w:val="en-US" w:eastAsia="zh-CN"/>
        </w:rPr>
        <w:t>3.思想政治·限选四史类必修课2学分：党史、新中国史、改革开放史、社会主义发展史。</w:t>
      </w:r>
      <w:r>
        <w:rPr>
          <w:rFonts w:hint="eastAsia" w:ascii="仿宋_GB2312" w:hAnsi="仿宋_GB2312" w:eastAsia="仿宋_GB2312" w:cs="仿宋_GB2312"/>
          <w:b/>
          <w:bCs/>
          <w:sz w:val="24"/>
          <w:szCs w:val="24"/>
          <w:highlight w:val="none"/>
        </w:rPr>
        <w:br w:type="page"/>
      </w:r>
    </w:p>
    <w:p>
      <w:pPr>
        <w:pStyle w:val="3"/>
        <w:pageBreakBefore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rPr>
        <w:t>实施保障</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教材选用</w:t>
      </w:r>
    </w:p>
    <w:p>
      <w:pPr>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sz w:val="24"/>
          <w:szCs w:val="24"/>
          <w:highlight w:val="none"/>
          <w:u w:val="none"/>
        </w:rPr>
      </w:pPr>
      <w:r>
        <w:rPr>
          <w:rFonts w:hint="eastAsia" w:ascii="Calibri" w:hAnsi="Calibri" w:eastAsia="仿宋_GB2312" w:cs="Calibri"/>
          <w:color w:val="auto"/>
          <w:sz w:val="24"/>
          <w:szCs w:val="24"/>
          <w:lang w:val="en-US" w:eastAsia="zh-CN"/>
        </w:rPr>
        <w:t xml:space="preserve"> 规范教材选用，增强教材育人功能，建立了由专业教师、专家教授和专业负责人等组成的教材选用小组，经过规范程序择优选用教材，禁止不合格的教材进入课堂，相关课程教材的选用均根据专业特色与培养目标，优先选用近三年出版的国家规划教材和省部委重点教材或获奖教材。</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师资队伍</w:t>
      </w:r>
    </w:p>
    <w:p>
      <w:pPr>
        <w:pageBreakBefore w:val="0"/>
        <w:widowControl/>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u w:val="none"/>
        </w:rPr>
      </w:pPr>
      <w:r>
        <w:rPr>
          <w:rFonts w:hint="eastAsia" w:ascii="仿宋_GB2312" w:hAnsi="仿宋_GB2312" w:eastAsia="仿宋_GB2312" w:cs="仿宋_GB2312"/>
          <w:color w:val="auto"/>
          <w:sz w:val="24"/>
          <w:szCs w:val="24"/>
          <w:lang w:val="en-US" w:eastAsia="zh-CN"/>
        </w:rPr>
        <w:t>通过引进和鼓励进修等各种措施，不断优化专业教师结构，目前本专业专兼任教师30人，副高以上职称教师占总数46%；讲师或相当职称的教师占总数100%；博士7人，硕士18人。其中一半以上教师都具有企业营销管理经验。</w:t>
      </w:r>
      <w:r>
        <w:rPr>
          <w:rFonts w:hint="eastAsia" w:ascii="仿宋_GB2312" w:hAnsi="仿宋_GB2312" w:eastAsia="仿宋_GB2312" w:cs="仿宋_GB2312"/>
          <w:sz w:val="24"/>
          <w:szCs w:val="24"/>
        </w:rPr>
        <w:t>与此同时，我们还配备了一支企业兼职教师队伍，深入课堂教学时间达到总课时的30%，将企业的人力资源管理经验带给学生，使学生更好的将理论知识与企业岗位技能对接。</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教学及实验实训条件</w:t>
      </w:r>
    </w:p>
    <w:p>
      <w:pPr>
        <w:pageBreakBefore w:val="0"/>
        <w:widowControl w:val="0"/>
        <w:kinsoku/>
        <w:wordWrap/>
        <w:overflowPunct/>
        <w:topLinePunct w:val="0"/>
        <w:autoSpaceDE/>
        <w:autoSpaceDN/>
        <w:bidi w:val="0"/>
        <w:adjustRightInd/>
        <w:snapToGrid/>
        <w:spacing w:line="500" w:lineRule="exact"/>
        <w:ind w:firstLine="480" w:firstLineChars="20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校内实训基地：华商学院已建成高标准、高水平、独具特色的多媒体教室、经管学科跨专业综合仿真实习、云计算、云桌面平台，以及大传播实验教学平台。建成专业实验室，即市场营销实训室，该实验室面积155平方米，配有70多台配置先进的电脑，仪器设备总值达30.57多万元，装有多种营销模拟系统软件，该实验室能够进行零售业务模拟，也能够很好地满足进行市场营销其他的综合性实验及设计性实验，同时本专业还可以利用三个专业共用的电子沙盘实验室（厚德楼B402）进行企业行为模拟－沙盘推演及ERP应用等实践教学课程，其中，跨专业综合仿真平台被广东省教育厅纳入省质量工程实验教学示范中心立项建设项目。</w:t>
      </w:r>
    </w:p>
    <w:p>
      <w:pPr>
        <w:pStyle w:val="2"/>
        <w:pageBreakBefore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kern w:val="2"/>
          <w:sz w:val="24"/>
          <w:szCs w:val="24"/>
          <w:highlight w:val="none"/>
          <w:u w:val="none"/>
        </w:rPr>
      </w:pPr>
      <w:r>
        <w:rPr>
          <w:rFonts w:hint="eastAsia" w:ascii="仿宋_GB2312" w:hAnsi="仿宋_GB2312" w:eastAsia="仿宋_GB2312" w:cs="仿宋_GB2312"/>
          <w:color w:val="auto"/>
          <w:sz w:val="24"/>
          <w:szCs w:val="24"/>
          <w:lang w:val="en-US" w:eastAsia="zh-CN"/>
        </w:rPr>
        <w:t>校外实习基地：专业实习是实现教学目标和任务的实践环节，是锻炼学生实践能力的重要手段，本专业先后与广州珠江钢琴集团、华商E家、天地壹号饮料有限公司、广东三福服装有限公司和广东鸿威会展有限公司等10多家大、中、小型企业建立了较好的合作关系，每年都带学生前往实习、交流。</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现有教学资源（含数字化资源）</w:t>
      </w:r>
    </w:p>
    <w:p>
      <w:pPr>
        <w:pageBreakBefore w:val="0"/>
        <w:widowControl w:val="0"/>
        <w:kinsoku/>
        <w:wordWrap/>
        <w:overflowPunct/>
        <w:topLinePunct w:val="0"/>
        <w:autoSpaceDE/>
        <w:autoSpaceDN/>
        <w:bidi w:val="0"/>
        <w:adjustRightInd/>
        <w:snapToGrid/>
        <w:spacing w:line="500" w:lineRule="exact"/>
        <w:ind w:firstLine="482" w:firstLineChars="200"/>
        <w:jc w:val="both"/>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1.线下教学资源</w:t>
      </w:r>
    </w:p>
    <w:p>
      <w:pPr>
        <w:pageBreakBefore w:val="0"/>
        <w:widowControl w:val="0"/>
        <w:kinsoku/>
        <w:wordWrap/>
        <w:overflowPunct/>
        <w:topLinePunct w:val="0"/>
        <w:autoSpaceDE/>
        <w:autoSpaceDN/>
        <w:bidi w:val="0"/>
        <w:adjustRightInd/>
        <w:snapToGrid/>
        <w:spacing w:line="500" w:lineRule="exact"/>
        <w:ind w:firstLine="480" w:firstLineChars="20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华商学院图书馆总馆藏量达258万册，其中中文图247.2660万册、外文图书4.5801万册、期刊合订本2.2878万册。我馆订有现刊830种，其中期刊759种（含外文期刊24种）；报纸71种（含外文报纸3种）。购买超星数字图书馆电子图书31万种，清华同方中国知网（CNKI）七个专辑和中国财经教育资源共享平台。清华同方中国知网（CNKI）七个专辑其中包含中国学术期刊论文、重要会议论文、博、硕士论文、重要报纸全文等约5700多万篇，基本上涵盖了我校所设各个专业的文献资料。</w:t>
      </w:r>
    </w:p>
    <w:p>
      <w:pPr>
        <w:pageBreakBefore w:val="0"/>
        <w:kinsoku/>
        <w:wordWrap/>
        <w:overflowPunct/>
        <w:topLinePunct w:val="0"/>
        <w:autoSpaceDE/>
        <w:autoSpaceDN/>
        <w:bidi w:val="0"/>
        <w:adjustRightInd/>
        <w:snapToGrid/>
        <w:spacing w:line="500" w:lineRule="exact"/>
        <w:ind w:firstLine="561"/>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2.线上教学资源</w:t>
      </w:r>
    </w:p>
    <w:p>
      <w:pPr>
        <w:pageBreakBefore w:val="0"/>
        <w:kinsoku/>
        <w:wordWrap/>
        <w:overflowPunct/>
        <w:topLinePunct w:val="0"/>
        <w:autoSpaceDE/>
        <w:autoSpaceDN/>
        <w:bidi w:val="0"/>
        <w:adjustRightInd/>
        <w:snapToGrid/>
        <w:spacing w:line="500" w:lineRule="exact"/>
        <w:ind w:firstLine="561"/>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（1）以</w:t>
      </w:r>
      <w:r>
        <w:rPr>
          <w:rFonts w:hint="eastAsia" w:ascii="仿宋_GB2312" w:hAnsi="仿宋_GB2312" w:eastAsia="仿宋_GB2312" w:cs="仿宋_GB2312"/>
          <w:sz w:val="24"/>
          <w:szCs w:val="24"/>
          <w:lang w:eastAsia="zh-CN"/>
        </w:rPr>
        <w:t>超星</w:t>
      </w:r>
      <w:r>
        <w:rPr>
          <w:rFonts w:hint="eastAsia" w:ascii="仿宋_GB2312" w:hAnsi="仿宋_GB2312" w:eastAsia="仿宋_GB2312" w:cs="仿宋_GB2312"/>
          <w:sz w:val="24"/>
          <w:szCs w:val="24"/>
        </w:rPr>
        <w:t>平台</w:t>
      </w:r>
      <w:r>
        <w:rPr>
          <w:rFonts w:hint="eastAsia" w:ascii="仿宋_GB2312" w:hAnsi="仿宋_GB2312" w:eastAsia="仿宋_GB2312" w:cs="仿宋_GB2312"/>
          <w:sz w:val="24"/>
          <w:szCs w:val="24"/>
          <w:lang w:val="en-US" w:eastAsia="zh-CN"/>
        </w:rPr>
        <w:t>为基础的线上</w:t>
      </w:r>
      <w:r>
        <w:rPr>
          <w:rFonts w:hint="eastAsia" w:ascii="仿宋_GB2312" w:hAnsi="仿宋_GB2312" w:eastAsia="仿宋_GB2312" w:cs="仿宋_GB2312"/>
          <w:sz w:val="24"/>
          <w:szCs w:val="24"/>
        </w:rPr>
        <w:t>相关课程资源为数字教学资源，目前已有《管理学</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人力资源管理</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市场营销</w:t>
      </w:r>
      <w:r>
        <w:rPr>
          <w:rFonts w:hint="eastAsia" w:ascii="仿宋_GB2312" w:hAnsi="仿宋_GB2312" w:eastAsia="仿宋_GB2312" w:cs="仿宋_GB2312"/>
          <w:sz w:val="24"/>
          <w:szCs w:val="24"/>
          <w:lang w:eastAsia="zh-CN"/>
        </w:rPr>
        <w:t>学</w:t>
      </w:r>
      <w:r>
        <w:rPr>
          <w:rFonts w:hint="eastAsia" w:ascii="仿宋_GB2312" w:hAnsi="仿宋_GB2312" w:eastAsia="仿宋_GB2312" w:cs="仿宋_GB2312"/>
          <w:sz w:val="24"/>
          <w:szCs w:val="24"/>
        </w:rPr>
        <w:t>》等课程作为校级精品在线开放课程供学生们学习。</w:t>
      </w:r>
    </w:p>
    <w:p>
      <w:pPr>
        <w:pageBreakBefore w:val="0"/>
        <w:widowControl/>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color w:val="000000"/>
          <w:kern w:val="0"/>
          <w:sz w:val="24"/>
          <w:szCs w:val="24"/>
          <w:highlight w:val="none"/>
          <w:u w:val="none"/>
          <w:lang w:bidi="ar"/>
        </w:rPr>
      </w:pPr>
      <w:r>
        <w:rPr>
          <w:rFonts w:hint="eastAsia" w:ascii="仿宋_GB2312" w:hAnsi="仿宋_GB2312" w:eastAsia="仿宋_GB2312" w:cs="仿宋_GB2312"/>
          <w:sz w:val="24"/>
          <w:szCs w:val="24"/>
        </w:rPr>
        <w:t>（2）建立专业核心课程教学团队，以《</w:t>
      </w:r>
      <w:r>
        <w:rPr>
          <w:rFonts w:hint="eastAsia" w:ascii="仿宋_GB2312" w:hAnsi="仿宋_GB2312" w:eastAsia="仿宋_GB2312" w:cs="仿宋_GB2312"/>
          <w:sz w:val="24"/>
          <w:szCs w:val="24"/>
          <w:lang w:val="en-US" w:eastAsia="zh-CN"/>
        </w:rPr>
        <w:t>战略管理》《市场营销》《销售管理》《营销策划》《客户管理管理》《消费者行为学</w:t>
      </w:r>
      <w:r>
        <w:rPr>
          <w:rFonts w:hint="eastAsia" w:ascii="仿宋_GB2312" w:hAnsi="仿宋_GB2312" w:eastAsia="仿宋_GB2312" w:cs="仿宋_GB2312"/>
          <w:sz w:val="24"/>
          <w:szCs w:val="24"/>
        </w:rPr>
        <w:t xml:space="preserve">》等课程为核心，在超星学习通等数字化平台建立专业课程教学资源库，其中包括电子教案、电子教材、课件、多媒体素材库、习题库、试题库、案例库等，为实现学生自主学习和相互交流提供优质的共享资源平台。 </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质量管理</w:t>
      </w:r>
    </w:p>
    <w:p>
      <w:pPr>
        <w:pageBreakBefore w:val="0"/>
        <w:kinsoku/>
        <w:wordWrap/>
        <w:overflowPunct/>
        <w:topLinePunct w:val="0"/>
        <w:autoSpaceDE/>
        <w:autoSpaceDN/>
        <w:bidi w:val="0"/>
        <w:adjustRightInd/>
        <w:snapToGrid/>
        <w:spacing w:line="500" w:lineRule="exact"/>
        <w:ind w:firstLine="562"/>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1.专业教学质量管控组织</w:t>
      </w:r>
    </w:p>
    <w:p>
      <w:pPr>
        <w:pageBreakBefore w:val="0"/>
        <w:kinsoku/>
        <w:wordWrap/>
        <w:overflowPunct/>
        <w:topLinePunct w:val="0"/>
        <w:autoSpaceDE/>
        <w:autoSpaceDN/>
        <w:bidi w:val="0"/>
        <w:adjustRightInd/>
        <w:snapToGrid/>
        <w:spacing w:line="50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二级学院组建专业群建设指导委员会和教学质量管理委员会两个教学质量控制组织。发挥管理学院专业群建设指导委员会校内外专家在专业规划和人才培养方面的指导作用，对专业人才培养方案和重大专业建设问题进行审议、论证，使各专业人才培养更好地对接地方产业经济与社会发展需求；发挥管理学院教学质量管理委员会教学监督与管理职能作用，加强教学质量检查、评价等。</w:t>
      </w:r>
    </w:p>
    <w:p>
      <w:pPr>
        <w:pageBreakBefore w:val="0"/>
        <w:kinsoku/>
        <w:wordWrap/>
        <w:overflowPunct/>
        <w:topLinePunct w:val="0"/>
        <w:autoSpaceDE/>
        <w:autoSpaceDN/>
        <w:bidi w:val="0"/>
        <w:adjustRightInd/>
        <w:snapToGrid/>
        <w:spacing w:line="500" w:lineRule="exact"/>
        <w:ind w:firstLine="562"/>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2.教学运行管理制度</w:t>
      </w:r>
    </w:p>
    <w:p>
      <w:pPr>
        <w:pageBreakBefore w:val="0"/>
        <w:kinsoku/>
        <w:wordWrap/>
        <w:overflowPunct/>
        <w:topLinePunct w:val="0"/>
        <w:autoSpaceDE/>
        <w:autoSpaceDN/>
        <w:bidi w:val="0"/>
        <w:adjustRightInd/>
        <w:snapToGrid/>
        <w:spacing w:line="50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教学检查及听课制度。为了使教学工作顺利进行，结合学校有关规定，二级学院制定了相关管理制度。包括：工作常规检查，即每学期期初、期中、期末按照教务处的要求检查本学期上课教师的教案、授课进度表等。不定期抽查，即督导小组每学期不定期抽查教案、作业，期末对考试、考查情况进行检查。建立听课制度，高级职称返聘教师每周至少听课2节，对青年教师给予指导；专业负责人每学期听课均不少于8节，了解专业教师教学情况以及学生学习状况。初级教师每周至少听课2节，向其他教师学习；定期组织公开课，组织教师相互观摩学习。</w:t>
      </w:r>
    </w:p>
    <w:p>
      <w:pPr>
        <w:pageBreakBefore w:val="0"/>
        <w:kinsoku/>
        <w:wordWrap/>
        <w:overflowPunct/>
        <w:topLinePunct w:val="0"/>
        <w:autoSpaceDE/>
        <w:autoSpaceDN/>
        <w:bidi w:val="0"/>
        <w:adjustRightInd/>
        <w:snapToGrid/>
        <w:spacing w:line="50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考试管理制度。规范命题制卷、严肃考试纪律，严格考场管理。规范阅卷环节，坚持考前教育与考场严格管理相结合，建立巡考检查责任制，充分发挥试卷成绩分析在反馈教学效果方面的重要作用，针对性地改进教学，以不断提高教学质量。</w:t>
      </w:r>
    </w:p>
    <w:p>
      <w:pPr>
        <w:pStyle w:val="31"/>
        <w:pageBreakBefore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r>
        <w:rPr>
          <w:rFonts w:hint="eastAsia" w:ascii="仿宋_GB2312" w:hAnsi="仿宋_GB2312" w:eastAsia="仿宋_GB2312" w:cs="仿宋_GB2312"/>
          <w:kern w:val="0"/>
          <w:sz w:val="24"/>
          <w:szCs w:val="24"/>
        </w:rPr>
        <w:t>毕业实习管理制度。毕业实习接受学校、学院的统一教学管理。接受毕业实习的企业应安排专门人员负责本单位所有学生的实习指导，明确学生实习岗位，准时、足额发放薪酬，配合校方完成实习期间的教学任务。</w:t>
      </w:r>
    </w:p>
    <w:p>
      <w:pPr>
        <w:pageBreakBefore w:val="0"/>
        <w:kinsoku/>
        <w:wordWrap/>
        <w:overflowPunct/>
        <w:topLinePunct w:val="0"/>
        <w:autoSpaceDE/>
        <w:autoSpaceDN/>
        <w:bidi w:val="0"/>
        <w:adjustRightInd/>
        <w:snapToGrid/>
        <w:spacing w:line="50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教师考核制度。教师考核于每年年末进行，考核对象为在教师岗位上从事教学工作的专任教师；考核内容包括思想政治表现考核、教学工作考核、教研工作考核和其他工作考核，考核结果分为优秀、良好、合格、基本合格和不合格五个等级。</w:t>
      </w:r>
    </w:p>
    <w:p>
      <w:pPr>
        <w:pageBreakBefore w:val="0"/>
        <w:kinsoku/>
        <w:wordWrap/>
        <w:overflowPunct/>
        <w:topLinePunct w:val="0"/>
        <w:autoSpaceDE/>
        <w:autoSpaceDN/>
        <w:bidi w:val="0"/>
        <w:adjustRightInd/>
        <w:snapToGrid/>
        <w:spacing w:line="500" w:lineRule="exact"/>
        <w:ind w:firstLine="562"/>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3.教学质量监督机制</w:t>
      </w:r>
    </w:p>
    <w:p>
      <w:pPr>
        <w:pageBreakBefore w:val="0"/>
        <w:kinsoku/>
        <w:wordWrap/>
        <w:overflowPunct/>
        <w:topLinePunct w:val="0"/>
        <w:autoSpaceDE/>
        <w:autoSpaceDN/>
        <w:bidi w:val="0"/>
        <w:adjustRightInd/>
        <w:snapToGrid/>
        <w:spacing w:line="50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（1）三级评教。实施学生评教、教师互评和督导评教的三级评教机制，评价结果及时反馈，以利于教师及时改进教学，保证教学质量。</w:t>
      </w:r>
    </w:p>
    <w:p>
      <w:pPr>
        <w:pStyle w:val="2"/>
        <w:pageBreakBefore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color w:val="000000"/>
          <w:sz w:val="24"/>
          <w:szCs w:val="24"/>
          <w:highlight w:val="none"/>
          <w:u w:val="none"/>
          <w:lang w:bidi="ar"/>
        </w:rPr>
      </w:pPr>
      <w:r>
        <w:rPr>
          <w:rFonts w:hint="eastAsia" w:ascii="仿宋_GB2312" w:hAnsi="仿宋_GB2312" w:eastAsia="仿宋_GB2312" w:cs="仿宋_GB2312"/>
          <w:sz w:val="24"/>
          <w:szCs w:val="24"/>
        </w:rPr>
        <w:t>（2）座谈会。教学主管人员定期和不定期组织教师座谈会、学生座谈会，及时了解教学、管理中存在的问题，听取教师和学生意见、建议，并形成书面记录，有关意见和建议要及时进行反馈或处理。教师座谈会、学生座谈会每学期至少召开一次。</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经费保障</w:t>
      </w:r>
    </w:p>
    <w:p>
      <w:pPr>
        <w:pStyle w:val="2"/>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eastAsia="宋体"/>
          <w:sz w:val="24"/>
          <w:szCs w:val="24"/>
          <w:highlight w:val="none"/>
          <w:lang w:eastAsia="zh-CN"/>
        </w:rPr>
      </w:pPr>
      <w:r>
        <w:rPr>
          <w:rFonts w:hint="eastAsia" w:ascii="仿宋_GB2312" w:hAnsi="仿宋_GB2312" w:eastAsia="仿宋_GB2312" w:cs="仿宋_GB2312"/>
          <w:kern w:val="2"/>
          <w:sz w:val="24"/>
          <w:szCs w:val="24"/>
          <w:highlight w:val="none"/>
        </w:rPr>
        <w:t>学校成人高等学历教育有独立的账户，学费收入主要用于课酬、设备、场地等经费的支出，教学实施经费有保障。</w:t>
      </w:r>
    </w:p>
    <w:sectPr>
      <w:footerReference r:id="rId4" w:type="first"/>
      <w:footerReference r:id="rId3" w:type="default"/>
      <w:pgSz w:w="11906" w:h="16838"/>
      <w:pgMar w:top="1134" w:right="1134" w:bottom="1134" w:left="1080" w:header="851" w:footer="992" w:gutter="0"/>
      <w:pgNumType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PAGE   \* MERGEFORMAT</w:instrText>
    </w:r>
    <w:r>
      <w:fldChar w:fldCharType="separate"/>
    </w:r>
    <w:r>
      <w:rPr>
        <w:lang w:val="zh-CN"/>
      </w:rPr>
      <w:t>6</w:t>
    </w:r>
    <w:r>
      <w:rPr>
        <w:lang w:val="zh-CN"/>
      </w:rP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PAGE   \* MERGEFORMAT</w:instrText>
    </w:r>
    <w:r>
      <w:fldChar w:fldCharType="separate"/>
    </w:r>
    <w:r>
      <w:rPr>
        <w:lang w:val="zh-CN"/>
      </w:rPr>
      <w:t>1</w:t>
    </w:r>
    <w:r>
      <w:rPr>
        <w:lang w:val="zh-CN"/>
      </w:rP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0C115A"/>
    <w:multiLevelType w:val="singleLevel"/>
    <w:tmpl w:val="2E0C115A"/>
    <w:lvl w:ilvl="0" w:tentative="0">
      <w:start w:val="1"/>
      <w:numFmt w:val="chineseCounting"/>
      <w:suff w:val="nothing"/>
      <w:lvlText w:val="%1、"/>
      <w:lvlJc w:val="left"/>
      <w:pPr>
        <w:ind w:left="0" w:firstLine="420"/>
      </w:pPr>
      <w:rPr>
        <w:rFonts w:hint="eastAsia"/>
      </w:rPr>
    </w:lvl>
  </w:abstractNum>
  <w:abstractNum w:abstractNumId="1">
    <w:nsid w:val="3A581FAF"/>
    <w:multiLevelType w:val="singleLevel"/>
    <w:tmpl w:val="3A581FAF"/>
    <w:lvl w:ilvl="0" w:tentative="0">
      <w:start w:val="1"/>
      <w:numFmt w:val="chineseCounting"/>
      <w:suff w:val="nothing"/>
      <w:lvlText w:val="（%1）"/>
      <w:lvlJc w:val="left"/>
      <w:pPr>
        <w:ind w:left="0" w:firstLine="420"/>
      </w:pPr>
      <w:rPr>
        <w:rFonts w:hint="eastAsia"/>
      </w:rPr>
    </w:lvl>
  </w:abstractNum>
  <w:abstractNum w:abstractNumId="2">
    <w:nsid w:val="63BDB427"/>
    <w:multiLevelType w:val="singleLevel"/>
    <w:tmpl w:val="63BDB427"/>
    <w:lvl w:ilvl="0" w:tentative="0">
      <w:start w:val="1"/>
      <w:numFmt w:val="chineseCounting"/>
      <w:suff w:val="nothing"/>
      <w:lvlText w:val="（%1）"/>
      <w:lvlJc w:val="left"/>
      <w:pPr>
        <w:ind w:left="0" w:firstLine="420"/>
      </w:pPr>
      <w:rPr>
        <w:rFonts w:hint="eastAsia"/>
      </w:rPr>
    </w:lvl>
  </w:abstractNum>
  <w:abstractNum w:abstractNumId="3">
    <w:nsid w:val="66735EC8"/>
    <w:multiLevelType w:val="singleLevel"/>
    <w:tmpl w:val="66735EC8"/>
    <w:lvl w:ilvl="0" w:tentative="0">
      <w:start w:val="1"/>
      <w:numFmt w:val="chineseCounting"/>
      <w:suff w:val="nothing"/>
      <w:lvlText w:val="（%1）"/>
      <w:lvlJc w:val="left"/>
      <w:pPr>
        <w:ind w:left="0" w:firstLine="420"/>
      </w:pPr>
      <w:rPr>
        <w:rFonts w:hint="eastAsia"/>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NotTrackMoves/>
  <w:documentProtection w:enforcement="0"/>
  <w:defaultTabStop w:val="420"/>
  <w:doNotHyphenateCaps/>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hjYmY5YmU4YTE1MDczMGExMTUzOGExNGQwMTJhOTQifQ=="/>
  </w:docVars>
  <w:rsids>
    <w:rsidRoot w:val="00000000"/>
    <w:rsid w:val="01852C2C"/>
    <w:rsid w:val="08206641"/>
    <w:rsid w:val="0CAE6912"/>
    <w:rsid w:val="0D8717F5"/>
    <w:rsid w:val="0E7C5BBA"/>
    <w:rsid w:val="119820EC"/>
    <w:rsid w:val="16DE7DF3"/>
    <w:rsid w:val="1A5328A6"/>
    <w:rsid w:val="281A6A4E"/>
    <w:rsid w:val="292E6AFF"/>
    <w:rsid w:val="29BA2D3A"/>
    <w:rsid w:val="30300907"/>
    <w:rsid w:val="34E717F6"/>
    <w:rsid w:val="398C6381"/>
    <w:rsid w:val="3DB729BB"/>
    <w:rsid w:val="42F36C1E"/>
    <w:rsid w:val="4662410F"/>
    <w:rsid w:val="4ACE54AE"/>
    <w:rsid w:val="4C1270F8"/>
    <w:rsid w:val="50A867A1"/>
    <w:rsid w:val="5CBA1D36"/>
    <w:rsid w:val="5E07300F"/>
    <w:rsid w:val="64554E95"/>
    <w:rsid w:val="674E7C4A"/>
    <w:rsid w:val="6A25041B"/>
    <w:rsid w:val="6A7C5195"/>
    <w:rsid w:val="6A996B6C"/>
    <w:rsid w:val="6DEF4BC4"/>
    <w:rsid w:val="6FE01452"/>
    <w:rsid w:val="70F96EC3"/>
    <w:rsid w:val="778A13FB"/>
    <w:rsid w:val="7941623B"/>
  </w:rsids>
  <m:mathPr>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 w:semiHidden="0" w:name="heading 2"/>
    <w:lsdException w:qFormat="1" w:uiPriority="0" w:name="heading 3" w:locked="1"/>
    <w:lsdException w:qFormat="1" w:uiPriority="0" w:semiHidden="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iPriority="99" w:semiHidden="0"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1"/>
    <w:basedOn w:val="1"/>
    <w:next w:val="1"/>
    <w:link w:val="27"/>
    <w:qFormat/>
    <w:locked/>
    <w:uiPriority w:val="0"/>
    <w:pPr>
      <w:keepNext/>
      <w:keepLines/>
      <w:spacing w:before="340" w:after="330" w:line="578" w:lineRule="auto"/>
      <w:outlineLvl w:val="0"/>
    </w:pPr>
    <w:rPr>
      <w:rFonts w:cs="Times New Roman"/>
      <w:b/>
      <w:bCs/>
      <w:kern w:val="44"/>
      <w:sz w:val="44"/>
      <w:szCs w:val="44"/>
    </w:rPr>
  </w:style>
  <w:style w:type="paragraph" w:styleId="4">
    <w:name w:val="heading 2"/>
    <w:basedOn w:val="1"/>
    <w:next w:val="1"/>
    <w:link w:val="18"/>
    <w:qFormat/>
    <w:uiPriority w:val="9"/>
    <w:pPr>
      <w:keepNext/>
      <w:keepLines/>
      <w:spacing w:line="460" w:lineRule="exact"/>
      <w:ind w:left="480" w:leftChars="200"/>
      <w:outlineLvl w:val="1"/>
    </w:pPr>
    <w:rPr>
      <w:rFonts w:ascii="Cambria" w:hAnsi="Cambria" w:cs="Times New Roman"/>
      <w:b/>
      <w:bCs/>
      <w:kern w:val="0"/>
      <w:sz w:val="32"/>
      <w:szCs w:val="32"/>
    </w:rPr>
  </w:style>
  <w:style w:type="paragraph" w:styleId="5">
    <w:name w:val="heading 4"/>
    <w:basedOn w:val="1"/>
    <w:next w:val="1"/>
    <w:link w:val="28"/>
    <w:unhideWhenUsed/>
    <w:qFormat/>
    <w:locked/>
    <w:uiPriority w:val="0"/>
    <w:pPr>
      <w:keepNext/>
      <w:keepLines/>
      <w:spacing w:before="280" w:after="290" w:line="376" w:lineRule="auto"/>
      <w:outlineLvl w:val="3"/>
    </w:pPr>
    <w:rPr>
      <w:rFonts w:ascii="Cambria" w:hAnsi="Cambria" w:cs="Times New Roman"/>
      <w:b/>
      <w:bCs/>
      <w:sz w:val="28"/>
      <w:szCs w:val="28"/>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rPr>
      <w:rFonts w:ascii="Times New Roman" w:hAnsi="Times New Roman"/>
      <w:kern w:val="0"/>
      <w:sz w:val="20"/>
    </w:rPr>
  </w:style>
  <w:style w:type="paragraph" w:styleId="6">
    <w:name w:val="Date"/>
    <w:basedOn w:val="1"/>
    <w:next w:val="1"/>
    <w:link w:val="19"/>
    <w:qFormat/>
    <w:uiPriority w:val="99"/>
    <w:pPr>
      <w:ind w:left="100" w:leftChars="2500"/>
    </w:pPr>
    <w:rPr>
      <w:rFonts w:cs="Times New Roman"/>
      <w:kern w:val="0"/>
      <w:sz w:val="20"/>
      <w:szCs w:val="20"/>
    </w:rPr>
  </w:style>
  <w:style w:type="paragraph" w:styleId="7">
    <w:name w:val="Balloon Text"/>
    <w:basedOn w:val="1"/>
    <w:link w:val="20"/>
    <w:semiHidden/>
    <w:qFormat/>
    <w:uiPriority w:val="99"/>
    <w:rPr>
      <w:rFonts w:cs="Times New Roman"/>
      <w:kern w:val="0"/>
      <w:sz w:val="18"/>
      <w:szCs w:val="18"/>
    </w:rPr>
  </w:style>
  <w:style w:type="paragraph" w:styleId="8">
    <w:name w:val="footer"/>
    <w:basedOn w:val="1"/>
    <w:link w:val="21"/>
    <w:qFormat/>
    <w:uiPriority w:val="99"/>
    <w:pPr>
      <w:tabs>
        <w:tab w:val="center" w:pos="4153"/>
        <w:tab w:val="right" w:pos="8306"/>
      </w:tabs>
      <w:snapToGrid w:val="0"/>
      <w:jc w:val="left"/>
    </w:pPr>
    <w:rPr>
      <w:rFonts w:cs="Times New Roman"/>
      <w:kern w:val="0"/>
      <w:sz w:val="18"/>
      <w:szCs w:val="18"/>
    </w:rPr>
  </w:style>
  <w:style w:type="paragraph" w:styleId="9">
    <w:name w:val="header"/>
    <w:basedOn w:val="1"/>
    <w:link w:val="22"/>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paragraph" w:styleId="10">
    <w:name w:val="toc 1"/>
    <w:basedOn w:val="1"/>
    <w:next w:val="1"/>
    <w:qFormat/>
    <w:locked/>
    <w:uiPriority w:val="39"/>
  </w:style>
  <w:style w:type="paragraph" w:styleId="11">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2">
    <w:name w:val="Title"/>
    <w:basedOn w:val="1"/>
    <w:next w:val="1"/>
    <w:link w:val="26"/>
    <w:qFormat/>
    <w:locked/>
    <w:uiPriority w:val="0"/>
    <w:pPr>
      <w:spacing w:before="240" w:after="60" w:line="460" w:lineRule="exact"/>
      <w:ind w:firstLine="200" w:firstLineChars="200"/>
      <w:jc w:val="center"/>
      <w:outlineLvl w:val="0"/>
    </w:pPr>
    <w:rPr>
      <w:rFonts w:ascii="Cambria" w:hAnsi="Cambria" w:eastAsia="黑体" w:cs="Times New Roman"/>
      <w:b/>
      <w:bCs/>
      <w:kern w:val="0"/>
      <w:sz w:val="36"/>
      <w:szCs w:val="32"/>
    </w:rPr>
  </w:style>
  <w:style w:type="table" w:styleId="14">
    <w:name w:val="Table Grid"/>
    <w:basedOn w:val="1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99"/>
    <w:rPr>
      <w:b/>
      <w:bCs/>
    </w:rPr>
  </w:style>
  <w:style w:type="character" w:styleId="17">
    <w:name w:val="Hyperlink"/>
    <w:qFormat/>
    <w:uiPriority w:val="99"/>
    <w:rPr>
      <w:color w:val="0000FF"/>
      <w:u w:val="single"/>
    </w:rPr>
  </w:style>
  <w:style w:type="character" w:customStyle="1" w:styleId="18">
    <w:name w:val="标题 2 字符"/>
    <w:link w:val="4"/>
    <w:semiHidden/>
    <w:qFormat/>
    <w:uiPriority w:val="9"/>
    <w:rPr>
      <w:rFonts w:ascii="Cambria" w:hAnsi="Cambria" w:eastAsia="宋体" w:cs="Times New Roman"/>
      <w:b/>
      <w:bCs/>
      <w:sz w:val="32"/>
      <w:szCs w:val="32"/>
    </w:rPr>
  </w:style>
  <w:style w:type="character" w:customStyle="1" w:styleId="19">
    <w:name w:val="日期 字符"/>
    <w:link w:val="6"/>
    <w:semiHidden/>
    <w:qFormat/>
    <w:locked/>
    <w:uiPriority w:val="99"/>
    <w:rPr>
      <w:rFonts w:ascii="Calibri" w:hAnsi="Calibri" w:eastAsia="宋体" w:cs="Calibri"/>
    </w:rPr>
  </w:style>
  <w:style w:type="character" w:customStyle="1" w:styleId="20">
    <w:name w:val="批注框文本 字符"/>
    <w:link w:val="7"/>
    <w:semiHidden/>
    <w:qFormat/>
    <w:locked/>
    <w:uiPriority w:val="99"/>
    <w:rPr>
      <w:rFonts w:ascii="Calibri" w:hAnsi="Calibri" w:eastAsia="宋体" w:cs="Calibri"/>
      <w:sz w:val="18"/>
      <w:szCs w:val="18"/>
    </w:rPr>
  </w:style>
  <w:style w:type="character" w:customStyle="1" w:styleId="21">
    <w:name w:val="页脚 字符"/>
    <w:link w:val="8"/>
    <w:qFormat/>
    <w:locked/>
    <w:uiPriority w:val="99"/>
    <w:rPr>
      <w:rFonts w:ascii="Calibri" w:hAnsi="Calibri" w:eastAsia="宋体" w:cs="Calibri"/>
      <w:sz w:val="18"/>
      <w:szCs w:val="18"/>
    </w:rPr>
  </w:style>
  <w:style w:type="character" w:customStyle="1" w:styleId="22">
    <w:name w:val="页眉 字符"/>
    <w:link w:val="9"/>
    <w:qFormat/>
    <w:locked/>
    <w:uiPriority w:val="99"/>
    <w:rPr>
      <w:rFonts w:ascii="Calibri" w:hAnsi="Calibri" w:eastAsia="宋体" w:cs="Calibri"/>
      <w:sz w:val="18"/>
      <w:szCs w:val="18"/>
    </w:rPr>
  </w:style>
  <w:style w:type="paragraph" w:customStyle="1" w:styleId="23">
    <w:name w:val="Char Char Char Char"/>
    <w:basedOn w:val="1"/>
    <w:qFormat/>
    <w:uiPriority w:val="99"/>
    <w:pPr>
      <w:widowControl/>
      <w:spacing w:after="160" w:line="240" w:lineRule="exact"/>
      <w:jc w:val="left"/>
    </w:pPr>
    <w:rPr>
      <w:rFonts w:ascii="Tahoma" w:hAnsi="Tahoma" w:cs="Tahoma"/>
      <w:kern w:val="0"/>
      <w:sz w:val="20"/>
      <w:szCs w:val="20"/>
      <w:lang w:eastAsia="en-US"/>
    </w:rPr>
  </w:style>
  <w:style w:type="paragraph" w:customStyle="1" w:styleId="24">
    <w:name w:val="List Paragraph1"/>
    <w:basedOn w:val="1"/>
    <w:qFormat/>
    <w:uiPriority w:val="99"/>
    <w:pPr>
      <w:ind w:firstLine="420" w:firstLineChars="200"/>
    </w:pPr>
  </w:style>
  <w:style w:type="paragraph" w:customStyle="1" w:styleId="25">
    <w:name w:val="p0"/>
    <w:basedOn w:val="1"/>
    <w:qFormat/>
    <w:uiPriority w:val="99"/>
    <w:pPr>
      <w:widowControl/>
    </w:pPr>
    <w:rPr>
      <w:kern w:val="0"/>
    </w:rPr>
  </w:style>
  <w:style w:type="character" w:customStyle="1" w:styleId="26">
    <w:name w:val="标题 字符"/>
    <w:link w:val="12"/>
    <w:qFormat/>
    <w:uiPriority w:val="0"/>
    <w:rPr>
      <w:rFonts w:ascii="Cambria" w:hAnsi="Cambria" w:eastAsia="黑体" w:cs="Times New Roman"/>
      <w:b/>
      <w:bCs/>
      <w:sz w:val="36"/>
      <w:szCs w:val="32"/>
    </w:rPr>
  </w:style>
  <w:style w:type="character" w:customStyle="1" w:styleId="27">
    <w:name w:val="标题 1 字符"/>
    <w:link w:val="3"/>
    <w:qFormat/>
    <w:uiPriority w:val="0"/>
    <w:rPr>
      <w:rFonts w:ascii="Calibri" w:hAnsi="Calibri" w:cs="Calibri"/>
      <w:b/>
      <w:bCs/>
      <w:kern w:val="44"/>
      <w:sz w:val="44"/>
      <w:szCs w:val="44"/>
    </w:rPr>
  </w:style>
  <w:style w:type="character" w:customStyle="1" w:styleId="28">
    <w:name w:val="标题 4 字符"/>
    <w:link w:val="5"/>
    <w:semiHidden/>
    <w:qFormat/>
    <w:uiPriority w:val="0"/>
    <w:rPr>
      <w:rFonts w:ascii="Cambria" w:hAnsi="Cambria" w:eastAsia="宋体" w:cs="Times New Roman"/>
      <w:b/>
      <w:bCs/>
      <w:kern w:val="2"/>
      <w:sz w:val="28"/>
      <w:szCs w:val="28"/>
    </w:rPr>
  </w:style>
  <w:style w:type="paragraph" w:customStyle="1" w:styleId="29">
    <w:name w:val="表格内容"/>
    <w:basedOn w:val="1"/>
    <w:qFormat/>
    <w:uiPriority w:val="0"/>
    <w:pPr>
      <w:overflowPunct w:val="0"/>
      <w:adjustRightInd w:val="0"/>
      <w:snapToGrid w:val="0"/>
      <w:jc w:val="center"/>
    </w:pPr>
    <w:rPr>
      <w:rFonts w:ascii="仿宋" w:hAnsi="仿宋" w:cs="仿宋"/>
      <w:szCs w:val="30"/>
    </w:rPr>
  </w:style>
  <w:style w:type="table" w:customStyle="1" w:styleId="30">
    <w:name w:val="Table Normal"/>
    <w:unhideWhenUsed/>
    <w:qFormat/>
    <w:uiPriority w:val="0"/>
    <w:tblPr>
      <w:tblCellMar>
        <w:top w:w="0" w:type="dxa"/>
        <w:left w:w="0" w:type="dxa"/>
        <w:bottom w:w="0" w:type="dxa"/>
        <w:right w:w="0" w:type="dxa"/>
      </w:tblCellMar>
    </w:tblPr>
  </w:style>
  <w:style w:type="paragraph" w:customStyle="1" w:styleId="31">
    <w:name w:val="大正文文本"/>
    <w:basedOn w:val="1"/>
    <w:qFormat/>
    <w:uiPriority w:val="0"/>
    <w:pPr>
      <w:spacing w:line="360" w:lineRule="auto"/>
      <w:ind w:firstLine="480" w:firstLineChars="200"/>
    </w:pPr>
    <w:rPr>
      <w:rFonts w:ascii="宋体" w:hAnsi="宋体" w:cstheme="minorBidi"/>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14</Pages>
  <Words>9536</Words>
  <Characters>10167</Characters>
  <Lines>33</Lines>
  <Paragraphs>9</Paragraphs>
  <TotalTime>0</TotalTime>
  <ScaleCrop>false</ScaleCrop>
  <LinksUpToDate>false</LinksUpToDate>
  <CharactersWithSpaces>10243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2020-04-13T13:45:00Z</dcterms:created>
  <dc:creator>林燕</dc:creator>
  <cp:lastModifiedBy>小李老师</cp:lastModifiedBy>
  <cp:lastPrinted>2018-12-27T10:38:00Z</cp:lastPrinted>
  <dcterms:modified xsi:type="dcterms:W3CDTF">2023-06-27T01:40:55Z</dcterms:modified>
  <dc:title>2020级金融管理专业人才培养方案</dc:title>
  <cp:revision>118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F4C981060ABC46B7BD1BEC5AC278FD4A_13</vt:lpwstr>
  </property>
</Properties>
</file>