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国际经济与贸易</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国际经济与贸易</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经济</w:t>
      </w:r>
      <w:r>
        <w:rPr>
          <w:rFonts w:hint="eastAsia" w:ascii="仿宋_GB2312" w:hAnsi="仿宋_GB2312" w:eastAsia="仿宋_GB2312" w:cs="仿宋_GB2312"/>
          <w:sz w:val="24"/>
          <w:szCs w:val="24"/>
          <w:highlight w:val="none"/>
          <w:lang w:val="en-US" w:eastAsia="zh-CN"/>
        </w:rPr>
        <w:t>与贸易类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020401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经济学</w:t>
      </w:r>
      <w:r>
        <w:rPr>
          <w:rFonts w:hint="eastAsia" w:ascii="仿宋_GB2312" w:hAnsi="仿宋_GB2312" w:eastAsia="仿宋_GB2312" w:cs="仿宋_GB2312"/>
          <w:sz w:val="24"/>
          <w:szCs w:val="24"/>
          <w:highlight w:val="none"/>
          <w:lang w:val="en-US" w:eastAsia="zh-CN"/>
        </w:rPr>
        <w:t xml:space="preserve">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b w:val="0"/>
          <w:bCs/>
          <w:sz w:val="24"/>
          <w:szCs w:val="24"/>
          <w:highlight w:val="none"/>
          <w:lang w:eastAsia="zh-CN"/>
        </w:rPr>
        <w:t>本专业旨在培养具有家国情怀及良好思想品质和道德修养，系统掌握经济学以及国际经济与贸易基础理论，熟悉通行的国际经济与贸易规则，适应国家对外经济战略和地方发展要求，服务于粤港澳“大湾区”数字贸易，具备从事国际贸易、国际经济合作及相关的沟通协调能力，富有国际视野及创新精神，在德智体美劳方面全面发展的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拥有科学的世界观及正确的人生观；具有鲜明的政治方向，爱祖国、爱人民、爱集体、爱劳动、爱科学、爱社会主义；拥有健康的心理，积极乐观的生活态度及健康的体魄。具备应对人生挫折的心理调节能力。</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具备一定的文学、历史、哲学、艺术、管理、法律等方面的知识，熟悉经济学基本理论；了解国内外对外贸易政策及相关法律法规；掌握科学常识、现代科技发展趋势，熟悉国际贸易流程及惯例以及商务文书的中外文写作规范。具备从事本专业学术研究和实务操作所必需的数学、外语、计算机等相关知识，熟练运用英语开展国际经济与贸易工作。</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Style w:val="31"/>
        <w:pageBreakBefore w:val="0"/>
        <w:widowControl w:val="0"/>
        <w:kinsoku/>
        <w:wordWrap/>
        <w:overflowPunct/>
        <w:topLinePunct w:val="0"/>
        <w:autoSpaceDE/>
        <w:autoSpaceDN/>
        <w:bidi w:val="0"/>
        <w:adjustRightInd w:val="0"/>
        <w:snapToGrid w:val="0"/>
        <w:spacing w:line="500" w:lineRule="exact"/>
        <w:ind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善于获取知识，能够综合利用图书馆资源、专业网站、媒体信息等渠道，具有自我学习、自我消化和自我更新知识的能力。能综合运用本专业的基础理论和专业知识，在国际货物贸易和服务贸易领域，发现问题、提炼问题、分析问题并能解决实际问题。了解本学科理论前沿和发展动态，具备科学逻辑思维能力、跨文化交流能力，拥有良好创新创业能力。</w:t>
      </w:r>
    </w:p>
    <w:p>
      <w:pPr>
        <w:pStyle w:val="31"/>
        <w:pageBreakBefore w:val="0"/>
        <w:widowControl w:val="0"/>
        <w:numPr>
          <w:ilvl w:val="0"/>
          <w:numId w:val="0"/>
        </w:numPr>
        <w:kinsoku/>
        <w:wordWrap/>
        <w:overflowPunct/>
        <w:topLinePunct w:val="0"/>
        <w:autoSpaceDE/>
        <w:autoSpaceDN/>
        <w:bidi w:val="0"/>
        <w:adjustRightInd w:val="0"/>
        <w:snapToGrid w:val="0"/>
        <w:spacing w:line="500" w:lineRule="exact"/>
        <w:ind w:firstLine="482" w:firstLineChars="200"/>
        <w:jc w:val="both"/>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4.</w:t>
      </w:r>
      <w:r>
        <w:rPr>
          <w:rFonts w:hint="eastAsia" w:ascii="仿宋_GB2312" w:hAnsi="仿宋_GB2312" w:eastAsia="仿宋_GB2312" w:cs="仿宋_GB2312"/>
          <w:b/>
          <w:bCs/>
          <w:sz w:val="24"/>
          <w:szCs w:val="24"/>
        </w:rPr>
        <w:t>技能要求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rPr>
        <w:t>熟练地掌握一门外语，具有听、说、读、写、译能力；掌握商务数据分析基本技能，借助商务数据分析工具分析并预测国际市场及潜在的消费群体；充分利用计算机及互联网从事国际经济与贸易活动，熟练制作单据并完成国际贸易单一窗口报关报检；掌握科学研究基本方法，能快速进行中外文文献检索。</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微观经济学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sz w:val="21"/>
                <w:szCs w:val="21"/>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eastAsia="zh-CN"/>
              </w:rPr>
              <w:t>管理学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eastAsia="zh-CN"/>
              </w:rPr>
              <w:t>本课程</w:t>
            </w:r>
            <w:r>
              <w:rPr>
                <w:rFonts w:hint="eastAsia" w:ascii="仿宋_GB2312" w:hAnsi="仿宋_GB2312" w:eastAsia="仿宋_GB2312" w:cs="仿宋_GB2312"/>
                <w:sz w:val="21"/>
                <w:szCs w:val="21"/>
              </w:rPr>
              <w:t>系统讲授管理学基本理论，讲授管理中的计划、组织、领导、控制等职能及其原理，结合一些重要的国际问题和管理案例进行研讨。培养学生创新的思维能力，运用理论分析实际问题，充分认识到组织的外部环境对组织的挑战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金融学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本课程教学目的在于向学生系统阐述有关货币金融方面的基本知识和一般原理，使学生对货币、信用、银行等方面基本范畴、内在关系及其运动规律有比较系统地掌握，同时，通过介绍国内外货币金融最新理论发展和实践动态，加深对金融改革的理解和认识，提高综合分析问题和解决问题的能力，并为今后学习其他金融专业课打好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宏观经济学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政治经济学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w:t>
            </w:r>
            <w:r>
              <w:rPr>
                <w:rFonts w:hint="eastAsia" w:ascii="仿宋_GB2312" w:hAnsi="仿宋_GB2312" w:eastAsia="仿宋_GB2312" w:cs="仿宋_GB2312"/>
                <w:sz w:val="21"/>
                <w:szCs w:val="21"/>
                <w:lang w:val="en-US" w:eastAsia="zh-Hans"/>
              </w:rPr>
              <w:t>以生产关系为研究对象，在揭示社会经济制度与经济运行一般原理的基础上，阐述了资本主义生产关系的实质和经济运行，社会主义生产关系的实质与中国经济体制改革和经济运行，以及在经济全球化背景下国际经济关系与中国经济发展的基本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国际经济学</w:t>
            </w:r>
          </w:p>
        </w:tc>
        <w:tc>
          <w:tcPr>
            <w:tcW w:w="3660"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vertAlign w:val="baseline"/>
                <w:lang w:val="en-US" w:eastAsia="zh-CN" w:bidi="ar-SA"/>
              </w:rPr>
              <w:t>国际经济学，以经济学的一般理论为基础，研究国际经济活动和国际经济关系，是一般经济理论在国际经济活动范围中的应用与延伸，是经济学体系的有机组成部分。主要研究对象有国际贸易理论与政策、国际收支理论、汇率理论、要素的国际流动、国际投资理论、开放的宏观经济均衡等。国际经济学是20世纪20年代初在传统的国际贸易学和国际金融学的基础上逐步发展起来的。第二次世界大战后，它在资本主义国家越来越受到重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会计学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eastAsia="zh-Hans"/>
              </w:rPr>
              <w:t>通过本课程的学习，使学生能够比较全面地了解、掌握会计的基本原理、基本方法和基本技能，并使学生具备进行会计核算的初步能力，为后续专业课程的学习打下基础。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统计学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sz w:val="21"/>
                <w:szCs w:val="21"/>
                <w:lang w:val="en-US" w:eastAsia="zh-CN"/>
              </w:rPr>
              <w:t>通过本课程的教学，掌握统计学的基本原理，掌握统计学的基本方法，在定性分析基础上做好定量分析。用统计学的知识去“发现问题、分析问题、解决问题”，提高学生的应用技能，以适应社会主义市场经济中各类问题的实证研究、科学决策和经济管理的需要。同时，也为学习计量经济学、投资学、市场营销学、金融工程等其他分支学科课程奠定了重要的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财政学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lang w:eastAsia="zh-CN"/>
              </w:rPr>
              <w:t>本课程</w:t>
            </w:r>
            <w:r>
              <w:rPr>
                <w:rFonts w:hint="eastAsia" w:ascii="仿宋_GB2312" w:hAnsi="仿宋_GB2312" w:eastAsia="仿宋_GB2312" w:cs="仿宋_GB2312"/>
                <w:sz w:val="21"/>
                <w:szCs w:val="21"/>
                <w:vertAlign w:val="baseline"/>
              </w:rPr>
              <w:t>是一门应用理论学科，是经济类学生必修的专业基础课。在学科体系中，财政学起着衔接一般经济理论课和财政业务课的中介作用。一方面将一般经济理论引向深化；另一方面对财政业务进行理论性分析。本课的任务是阐明财政的基本理论和基本知识。财政学的先修课程是政治经济学和西方经济学，达到每门课教学大纲所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rPr>
              <w:t>计量经济学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本课程通过介绍现代金融计量学的基础理论、模型和方法，培养学生在经济金融理论的基础上，借助计量分析软件建立金融计量学模型的能力，拓宽学生分析、研究现实经济金融问题的思路，增强学生的数量分析和实际动手能力。通过本课程的教学，希望学生能够掌握计量经济学的基本理论和方法，具备利用计量经济方法分析研究现实金融经济问题的初步能力，熟练掌握和应用计量分析软件。</w:t>
            </w: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国际贸易</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sz w:val="21"/>
                <w:szCs w:val="21"/>
                <w:highlight w:val="none"/>
                <w:vertAlign w:val="baseline"/>
                <w:lang w:eastAsia="zh-CN"/>
              </w:rPr>
              <w:t>本</w:t>
            </w:r>
            <w:r>
              <w:rPr>
                <w:rFonts w:hint="eastAsia" w:ascii="仿宋_GB2312" w:hAnsi="仿宋_GB2312" w:eastAsia="仿宋_GB2312" w:cs="仿宋_GB2312"/>
                <w:sz w:val="21"/>
                <w:szCs w:val="21"/>
                <w:highlight w:val="none"/>
                <w:vertAlign w:val="baseline"/>
              </w:rPr>
              <w:t>课程是国际经济与贸易专业的基础课程，旨在帮助学生理解和掌握国际贸易理论的历史演变、国际贸易政策的类型、决定因素以及政策措施，从而提高学生运用所学知识理解和分析当前国际贸易领域的最新动态和问题并拓展国际视野的能力，为将来从事国际贸易工作打下良好的理论基础</w:t>
            </w:r>
            <w:r>
              <w:rPr>
                <w:rFonts w:hint="eastAsia" w:ascii="仿宋_GB2312" w:hAnsi="仿宋_GB2312" w:eastAsia="仿宋_GB2312" w:cs="仿宋_GB2312"/>
                <w:sz w:val="21"/>
                <w:szCs w:val="21"/>
                <w:highlight w:val="none"/>
                <w:vertAlign w:val="baseline"/>
                <w:lang w:eastAsia="zh-CN"/>
              </w:rPr>
              <w:t>，并</w:t>
            </w:r>
            <w:r>
              <w:rPr>
                <w:rFonts w:hint="eastAsia" w:ascii="仿宋_GB2312" w:hAnsi="仿宋_GB2312" w:eastAsia="仿宋_GB2312" w:cs="仿宋_GB2312"/>
                <w:sz w:val="21"/>
                <w:szCs w:val="21"/>
                <w:highlight w:val="none"/>
                <w:vertAlign w:val="baseline"/>
              </w:rPr>
              <w:t>巩固学生对中国特色社会主义的道路自信、理论自信、制度自信、文化自信。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国际市场营销学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sz w:val="21"/>
                <w:szCs w:val="21"/>
                <w:lang w:val="en-US" w:eastAsia="zh-CN"/>
              </w:rPr>
              <w:t>本课程</w:t>
            </w:r>
            <w:r>
              <w:rPr>
                <w:rFonts w:hint="eastAsia" w:ascii="仿宋_GB2312" w:hAnsi="仿宋_GB2312" w:eastAsia="仿宋_GB2312" w:cs="仿宋_GB2312"/>
                <w:color w:val="auto"/>
                <w:sz w:val="21"/>
                <w:szCs w:val="21"/>
                <w:lang w:val="en-US" w:eastAsia="zh-Hans"/>
              </w:rPr>
              <w:t>以市场交换活动及其存在主要障碍的克服为研究对象，涵盖了以市场为导向企业经营理念和经营活动的组织与规划，对包括消费者和组织采购者在内的购买者行为的分析，以市场细分、目标市场选择和市场定位为主的营销战略决策，以及包括产品开发与经营、品牌管理、定价决策、分销渠道以及整合营销传播在内的营销策略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国际商法</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lang w:eastAsia="zh-CN"/>
              </w:rPr>
              <w:t>本课程</w:t>
            </w:r>
            <w:r>
              <w:rPr>
                <w:rFonts w:hint="eastAsia" w:ascii="仿宋_GB2312" w:hAnsi="仿宋_GB2312" w:eastAsia="仿宋_GB2312" w:cs="仿宋_GB2312"/>
                <w:sz w:val="21"/>
                <w:szCs w:val="21"/>
                <w:vertAlign w:val="baseline"/>
              </w:rPr>
              <w:t>是一门专门研究国际间商事交易活动过程中产生的和商事组织之间权利义务关系的学科，也是一门实践性很强的综合性应用学科，它涉及法律基本理论和国际商法的基本理论、合同法、买卖法、产品责任法、商事组织法、合伙法、公司法、外商投资企业法、代理法、票据法、商事仲裁法等方面学科的基本原理与基本知识的运用。本课程的主要任务是针对国际商事活动的特点和要求，分析研究国际商事活动过程中涉及的各种法律关系和法律问题，总结国际、国内有关国际商事活动的法律理论和判例的经验，为学生从事国际商务活动奠定必要的法律知识基础和合理的法律知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国际贸易实务</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rPr>
              <w:t>本课程是国际贸易专业的一门必修课，是一门实践性，操作性较强的课程。它根据我国对外贸易事业发展的需要，向学生介绍国际贸易的基础理论和基本知识，使学生了解国际贸易的一般惯例和法规，以及我国的具体做法。其内容包括四个部分；1．国际贸易术语及相关的国际惯例；2．国际货物买卖合同中的基本条款；3．介绍进行交易磋商和订立合同时涉及的基本法律问题以及履行合同的做法和应注意问题；4．介绍国际贸易中的各种贸易方式</w:t>
            </w:r>
            <w:r>
              <w:rPr>
                <w:rFonts w:hint="eastAsia" w:ascii="仿宋_GB2312" w:hAnsi="仿宋_GB2312" w:eastAsia="仿宋_GB2312" w:cs="仿宋_GB2312"/>
                <w:sz w:val="21"/>
                <w:szCs w:val="21"/>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国际商务谈判</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rPr>
              <w:t>本课程</w:t>
            </w:r>
            <w:r>
              <w:rPr>
                <w:rFonts w:hint="eastAsia" w:ascii="仿宋_GB2312" w:hAnsi="仿宋_GB2312" w:eastAsia="仿宋_GB2312" w:cs="仿宋_GB2312"/>
                <w:sz w:val="21"/>
                <w:szCs w:val="21"/>
                <w:vertAlign w:val="baseline"/>
                <w:lang w:eastAsia="zh-CN"/>
              </w:rPr>
              <w:t>旨在</w:t>
            </w:r>
            <w:r>
              <w:rPr>
                <w:rFonts w:hint="eastAsia" w:ascii="仿宋_GB2312" w:hAnsi="仿宋_GB2312" w:eastAsia="仿宋_GB2312" w:cs="仿宋_GB2312"/>
                <w:sz w:val="21"/>
                <w:szCs w:val="21"/>
                <w:vertAlign w:val="baseline"/>
              </w:rPr>
              <w:t>对商务谈判相关知识的进行浅显易懂</w:t>
            </w:r>
            <w:r>
              <w:rPr>
                <w:rFonts w:hint="eastAsia" w:ascii="仿宋_GB2312" w:hAnsi="仿宋_GB2312" w:eastAsia="仿宋_GB2312" w:cs="仿宋_GB2312"/>
                <w:sz w:val="21"/>
                <w:szCs w:val="21"/>
                <w:vertAlign w:val="baseline"/>
                <w:lang w:val="en-US" w:eastAsia="zh-CN"/>
              </w:rPr>
              <w:t>地</w:t>
            </w:r>
            <w:r>
              <w:rPr>
                <w:rFonts w:hint="eastAsia" w:ascii="仿宋_GB2312" w:hAnsi="仿宋_GB2312" w:eastAsia="仿宋_GB2312" w:cs="仿宋_GB2312"/>
                <w:sz w:val="21"/>
                <w:szCs w:val="21"/>
                <w:vertAlign w:val="baseline"/>
              </w:rPr>
              <w:t>讲解，并适当采用案例教学、谈判模拟、课堂讨论及辩论等形式，激发学生兴趣，帮助他们了解和掌握国际商务谈判的基本过程和要旨。同时提高学生在具体商务环境中的英语运用能力，为学生将来从事商务相关工作打下一定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商务英语函电</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lang w:eastAsia="zh-CN"/>
              </w:rPr>
              <w:t>本课程</w:t>
            </w:r>
            <w:r>
              <w:rPr>
                <w:rFonts w:hint="eastAsia" w:ascii="仿宋_GB2312" w:hAnsi="仿宋_GB2312" w:eastAsia="仿宋_GB2312" w:cs="仿宋_GB2312"/>
                <w:sz w:val="21"/>
                <w:szCs w:val="21"/>
                <w:vertAlign w:val="baseline"/>
              </w:rPr>
              <w:t>是</w:t>
            </w:r>
            <w:r>
              <w:rPr>
                <w:rFonts w:hint="eastAsia" w:ascii="仿宋_GB2312" w:hAnsi="仿宋_GB2312" w:eastAsia="仿宋_GB2312" w:cs="仿宋_GB2312"/>
                <w:sz w:val="21"/>
                <w:szCs w:val="21"/>
                <w:vertAlign w:val="baseline"/>
                <w:lang w:eastAsia="zh-CN"/>
              </w:rPr>
              <w:t>讲述</w:t>
            </w:r>
            <w:r>
              <w:rPr>
                <w:rFonts w:hint="eastAsia" w:ascii="仿宋_GB2312" w:hAnsi="仿宋_GB2312" w:eastAsia="仿宋_GB2312" w:cs="仿宋_GB2312"/>
                <w:sz w:val="21"/>
                <w:szCs w:val="21"/>
                <w:vertAlign w:val="baseline"/>
              </w:rPr>
              <w:t>对外经贸、商务活动的实际运作过程，按照从邀请、安排访问到建立贸易关系、询盘及答复、报价、报盘、还盘、订购、执行订单以及支付、包装、装运、保险、索赔与理赔、代理等全流程各个业务环节</w:t>
            </w:r>
            <w:r>
              <w:rPr>
                <w:rFonts w:hint="eastAsia" w:ascii="仿宋_GB2312" w:hAnsi="仿宋_GB2312" w:eastAsia="仿宋_GB2312" w:cs="仿宋_GB2312"/>
                <w:sz w:val="21"/>
                <w:szCs w:val="21"/>
                <w:vertAlign w:val="baseline"/>
                <w:lang w:eastAsia="zh-CN"/>
              </w:rPr>
              <w:t>进行阐述，</w:t>
            </w:r>
            <w:r>
              <w:rPr>
                <w:rFonts w:hint="eastAsia" w:ascii="仿宋_GB2312" w:hAnsi="仿宋_GB2312" w:eastAsia="仿宋_GB2312" w:cs="仿宋_GB2312"/>
                <w:sz w:val="21"/>
                <w:szCs w:val="21"/>
                <w:vertAlign w:val="baseline"/>
              </w:rPr>
              <w:t>为学生将来从事商务相关工作打下一定的基础。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eastAsia="zh-CN"/>
              </w:rPr>
              <w:t>跨境支付与结算</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vertAlign w:val="baseline"/>
              </w:rPr>
              <w:t>本课程从贸易和银行双重角度介绍信用工具——汇票，本票，支票，结算方式——汇款、托收、信用证、银行保函及相关的融资方式的一般操作和内容，并重点按照最新修订的法律和国际惯例介绍有关信用工具、结算方式的法律和惯例方面的规定，使学生从深层次上了解和掌握经贸业务与国际结算业务之间的内在联系和基本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国际经济合作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rPr>
              <w:t>本课程主要讲授国际经济合作的基本概论和国际经济合作方式。重点讲授国际投资技术转让，国际工程承包、国际发展援助、国际租赁以及中国利用外资、对外经济合作政策、管理体制与运行机制。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国际金融</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vertAlign w:val="baseline"/>
              </w:rPr>
              <w:t>通过本课程的学习，使学生提高对开放经济的认识，理解一国内部均衡与外部均衡的相互关系，系统而扎实地掌握外汇与汇率、国际收支、国际储备、国际金融市场、国际货币体系等基本理论和基本原理；了解我国涉外金融工作的方针、政策和法规，提高分析、解决实际问题的能力，为进一步学习其他经济、金融类专业课程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国际商务礼仪</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vertAlign w:val="baseline"/>
                <w:lang w:eastAsia="zh-CN"/>
              </w:rPr>
              <w:t>本课程</w:t>
            </w:r>
            <w:r>
              <w:rPr>
                <w:rFonts w:hint="eastAsia" w:ascii="仿宋_GB2312" w:hAnsi="仿宋_GB2312" w:eastAsia="仿宋_GB2312" w:cs="仿宋_GB2312"/>
                <w:sz w:val="21"/>
                <w:szCs w:val="21"/>
                <w:vertAlign w:val="baseline"/>
              </w:rPr>
              <w:t>是</w:t>
            </w:r>
            <w:r>
              <w:rPr>
                <w:rFonts w:hint="eastAsia" w:ascii="仿宋_GB2312" w:hAnsi="仿宋_GB2312" w:eastAsia="仿宋_GB2312" w:cs="仿宋_GB2312"/>
                <w:sz w:val="21"/>
                <w:szCs w:val="21"/>
                <w:vertAlign w:val="baseline"/>
                <w:lang w:eastAsia="zh-CN"/>
              </w:rPr>
              <w:t>为了</w:t>
            </w:r>
            <w:r>
              <w:rPr>
                <w:rFonts w:hint="eastAsia" w:ascii="仿宋_GB2312" w:hAnsi="仿宋_GB2312" w:eastAsia="仿宋_GB2312" w:cs="仿宋_GB2312"/>
                <w:sz w:val="21"/>
                <w:szCs w:val="21"/>
                <w:vertAlign w:val="baseline"/>
              </w:rPr>
              <w:t>商务人员在国际商务活动中，塑造个人和组织的良好形象而应当遵循的对交往对象表示尊敬与友好的规范或程序，是一般礼仪在国际商务活动中的运用和体现。要在不同的场合施展魅力、谈笑自若、表现出众，关键在于你是否能充分掌握各种社交场合、商业活动所需的谈吐举止、礼仪技巧。</w:t>
            </w: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highlight w:val="none"/>
        </w:rPr>
      </w:pPr>
    </w:p>
    <w:p>
      <w:pPr>
        <w:pStyle w:val="3"/>
        <w:pageBreakBefore w:val="0"/>
        <w:widowControl w:val="0"/>
        <w:numPr>
          <w:ilvl w:val="0"/>
          <w:numId w:val="0"/>
        </w:numPr>
        <w:kinsoku/>
        <w:wordWrap/>
        <w:overflowPunct/>
        <w:topLinePunct w:val="0"/>
        <w:autoSpaceDE/>
        <w:autoSpaceDN/>
        <w:bidi w:val="0"/>
        <w:adjustRightInd/>
        <w:snapToGrid/>
        <w:spacing w:before="0" w:after="0" w:line="560" w:lineRule="exact"/>
        <w:textAlignment w:val="auto"/>
        <w:rPr>
          <w:rFonts w:ascii="黑体" w:hAnsi="黑体" w:eastAsia="黑体"/>
          <w:sz w:val="28"/>
          <w:szCs w:val="28"/>
          <w:highlight w:val="none"/>
        </w:rPr>
      </w:pPr>
    </w:p>
    <w:p>
      <w:pPr>
        <w:rPr>
          <w:rFonts w:ascii="黑体" w:hAnsi="黑体" w:eastAsia="黑体"/>
          <w:sz w:val="28"/>
          <w:szCs w:val="28"/>
          <w:highlight w:val="none"/>
        </w:rPr>
      </w:pPr>
    </w:p>
    <w:p>
      <w:pPr>
        <w:rPr>
          <w:rFonts w:ascii="黑体" w:hAnsi="黑体" w:eastAsia="黑体"/>
          <w:sz w:val="28"/>
          <w:szCs w:val="28"/>
          <w:highlight w:val="none"/>
        </w:rPr>
      </w:pPr>
      <w:r>
        <w:rPr>
          <w:rFonts w:hint="eastAsia" w:ascii="黑体" w:hAnsi="黑体" w:eastAsia="黑体"/>
          <w:sz w:val="28"/>
          <w:szCs w:val="28"/>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1.学生在基本学制2.5年的专业人才培养方案所规定的</w:t>
      </w:r>
      <w:r>
        <w:rPr>
          <w:rFonts w:hint="eastAsia" w:ascii="仿宋_GB2312" w:hAnsi="仿宋_GB2312" w:eastAsia="仿宋_GB2312" w:cs="仿宋_GB2312"/>
          <w:sz w:val="24"/>
          <w:szCs w:val="24"/>
          <w:highlight w:val="none"/>
          <w:lang w:val="en-US" w:eastAsia="zh-CN"/>
        </w:rPr>
        <w:t>1656</w:t>
      </w:r>
      <w:r>
        <w:rPr>
          <w:rFonts w:hint="eastAsia" w:ascii="仿宋_GB2312" w:hAnsi="仿宋_GB2312" w:eastAsia="仿宋_GB2312" w:cs="仿宋_GB2312"/>
          <w:sz w:val="24"/>
          <w:szCs w:val="24"/>
          <w:highlight w:val="none"/>
        </w:rPr>
        <w:t>学时</w:t>
      </w:r>
      <w:r>
        <w:rPr>
          <w:rFonts w:hint="eastAsia" w:ascii="仿宋_GB2312" w:hAnsi="仿宋_GB2312" w:eastAsia="仿宋_GB2312" w:cs="仿宋_GB2312"/>
          <w:sz w:val="24"/>
          <w:szCs w:val="24"/>
          <w:highlight w:val="none"/>
          <w:lang w:val="en-US" w:eastAsia="zh-CN"/>
        </w:rPr>
        <w:t>92</w:t>
      </w:r>
      <w:r>
        <w:rPr>
          <w:rFonts w:hint="eastAsia" w:ascii="仿宋_GB2312" w:hAnsi="仿宋_GB2312" w:eastAsia="仿宋_GB2312" w:cs="仿宋_GB2312"/>
          <w:sz w:val="24"/>
          <w:szCs w:val="24"/>
          <w:highlight w:val="none"/>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sz w:val="24"/>
          <w:szCs w:val="24"/>
          <w:lang w:val="en-US" w:eastAsia="zh-CN"/>
        </w:rPr>
        <w:t>经济学</w:t>
      </w:r>
      <w:r>
        <w:rPr>
          <w:rFonts w:hint="eastAsia" w:ascii="仿宋_GB2312" w:hAnsi="仿宋_GB2312" w:eastAsia="仿宋_GB2312" w:cs="仿宋_GB2312"/>
          <w:sz w:val="24"/>
          <w:szCs w:val="24"/>
        </w:rPr>
        <w:t>学士学位证书。</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92</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eastAsia="zh-CN"/>
        </w:rPr>
        <w:t>通识教育课程</w:t>
      </w:r>
      <w:r>
        <w:rPr>
          <w:rFonts w:hint="eastAsia" w:ascii="仿宋_GB2312" w:hAnsi="仿宋_GB2312" w:eastAsia="仿宋_GB2312" w:cs="仿宋_GB2312"/>
          <w:sz w:val="24"/>
          <w:szCs w:val="24"/>
          <w:highlight w:val="none"/>
          <w:lang w:val="en-US" w:eastAsia="zh-CN"/>
        </w:rPr>
        <w:t>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学科基础课</w:t>
      </w:r>
      <w:r>
        <w:rPr>
          <w:rFonts w:hint="eastAsia" w:ascii="仿宋_GB2312" w:hAnsi="仿宋_GB2312" w:eastAsia="仿宋_GB2312" w:cs="仿宋_GB2312"/>
          <w:sz w:val="24"/>
          <w:szCs w:val="24"/>
          <w:highlight w:val="none"/>
          <w:lang w:val="en-US" w:eastAsia="zh-CN"/>
        </w:rPr>
        <w:t>29</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专业课程</w:t>
      </w:r>
      <w:r>
        <w:rPr>
          <w:rFonts w:hint="eastAsia" w:ascii="仿宋_GB2312" w:hAnsi="仿宋_GB2312" w:eastAsia="仿宋_GB2312" w:cs="仿宋_GB2312"/>
          <w:sz w:val="24"/>
          <w:szCs w:val="24"/>
          <w:highlight w:val="none"/>
          <w:lang w:val="en-US" w:eastAsia="zh-CN"/>
        </w:rPr>
        <w:t>21</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综合实践课程</w:t>
      </w:r>
      <w:r>
        <w:rPr>
          <w:rFonts w:hint="eastAsia" w:ascii="仿宋_GB2312" w:hAnsi="仿宋_GB2312" w:eastAsia="仿宋_GB2312" w:cs="仿宋_GB2312"/>
          <w:sz w:val="24"/>
          <w:szCs w:val="24"/>
          <w:highlight w:val="none"/>
          <w:lang w:val="en-US" w:eastAsia="zh-CN"/>
        </w:rPr>
        <w:t>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ind w:left="0" w:leftChars="0" w:firstLine="0" w:firstLineChars="0"/>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表四：国际经济与贸易</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16</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12.0</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表五：国际经济与贸易</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微观经济学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1186042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管理学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0224003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金融学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宏观经济学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政治经济学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0209043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国际经济学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0220013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会计学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0202123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财政学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0202113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计量经济学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专业</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课程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0222083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国际贸易</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1103152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国际市场营销学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0209902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国际商法</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0222093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国际贸易实务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1110362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国际商务谈判</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0209133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商务英语函电</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1150062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跨境支付与结算</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0201072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国际金融</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0210662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国际商务礼仪</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8"/>
                <w:szCs w:val="18"/>
                <w:lang w:val="en-US"/>
              </w:rPr>
            </w:pPr>
            <w:r>
              <w:rPr>
                <w:rFonts w:hint="eastAsia" w:ascii="宋体" w:hAnsi="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8"/>
                <w:szCs w:val="18"/>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8"/>
                <w:szCs w:val="18"/>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cs="宋体"/>
                <w:sz w:val="18"/>
                <w:szCs w:val="18"/>
                <w:lang w:val="en-US" w:eastAsia="zh-CN"/>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8"/>
                <w:szCs w:val="18"/>
                <w:lang w:val="en-US" w:eastAsia="zh-CN"/>
              </w:rPr>
            </w:pPr>
            <w:r>
              <w:rPr>
                <w:rFonts w:hint="eastAsia" w:ascii="宋体" w:hAnsi="宋体" w:cs="宋体"/>
                <w:sz w:val="18"/>
                <w:szCs w:val="18"/>
                <w:lang w:val="en-US" w:eastAsia="zh-CN"/>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1656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4" w:name="_GoBack"/>
            <w:bookmarkEnd w:id="4"/>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7.0</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14.0</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12.0</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国际经济与贸易</w:t>
      </w:r>
      <w:r>
        <w:rPr>
          <w:rFonts w:hint="eastAsia" w:ascii="宋体" w:hAnsi="宋体" w:eastAsia="宋体" w:cs="宋体"/>
          <w:sz w:val="21"/>
          <w:szCs w:val="21"/>
        </w:rPr>
        <w:t>专业教学进程安排表”，打“√”的为该门课的考核方式</w:t>
      </w:r>
      <w:r>
        <w:rPr>
          <w:rFonts w:hint="eastAsia" w:ascii="宋体" w:hAnsi="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720" w:firstLineChars="3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教材选用符合成人教育、培养目标及学生实际情况的教材，优先选用近三年出版的权威性教材和适合线上线下混合信息化教学的教材。也可以选用教师基于成人教育编制的自制教材</w:t>
      </w:r>
      <w:r>
        <w:rPr>
          <w:rFonts w:hint="eastAsia" w:ascii="仿宋_GB2312" w:hAnsi="仿宋_GB2312" w:eastAsia="仿宋_GB2312" w:cs="仿宋_GB2312"/>
          <w:color w:val="000000"/>
          <w:kern w:val="0"/>
          <w:sz w:val="24"/>
          <w:szCs w:val="24"/>
          <w:highlight w:val="none"/>
          <w:u w:val="none"/>
          <w:lang w:eastAsia="zh-CN" w:bidi="ar"/>
        </w:rPr>
        <w:t>。</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sz w:val="24"/>
          <w:szCs w:val="24"/>
          <w:highlight w:val="none"/>
          <w:lang w:eastAsia="zh-CN"/>
        </w:rPr>
        <w:t>国际经济与贸易</w:t>
      </w:r>
      <w:r>
        <w:rPr>
          <w:rFonts w:hint="eastAsia" w:ascii="仿宋_GB2312" w:hAnsi="仿宋_GB2312" w:eastAsia="仿宋_GB2312" w:cs="仿宋_GB2312"/>
          <w:sz w:val="24"/>
          <w:szCs w:val="24"/>
          <w:highlight w:val="none"/>
        </w:rPr>
        <w:t>专业，</w:t>
      </w:r>
      <w:r>
        <w:rPr>
          <w:rFonts w:hint="eastAsia" w:ascii="仿宋_GB2312" w:hAnsi="仿宋_GB2312" w:eastAsia="仿宋_GB2312" w:cs="仿宋_GB2312"/>
          <w:sz w:val="24"/>
          <w:szCs w:val="24"/>
          <w:highlight w:val="none"/>
          <w:lang w:eastAsia="zh-CN"/>
        </w:rPr>
        <w:t>具有</w:t>
      </w:r>
      <w:r>
        <w:rPr>
          <w:rFonts w:hint="eastAsia" w:ascii="仿宋_GB2312" w:hAnsi="仿宋_GB2312" w:eastAsia="仿宋_GB2312" w:cs="仿宋_GB2312"/>
          <w:color w:val="auto"/>
          <w:sz w:val="24"/>
          <w:szCs w:val="24"/>
          <w:highlight w:val="none"/>
          <w:lang w:val="en-US" w:eastAsia="zh-CN"/>
        </w:rPr>
        <w:t>一支具有国际视野、学术水平高的高级职称教师和具有博士、硕士学位的高素质教师队伍承担该专业日常教学工作。本</w:t>
      </w:r>
      <w:r>
        <w:rPr>
          <w:rFonts w:hint="eastAsia" w:ascii="仿宋_GB2312" w:hAnsi="仿宋_GB2312" w:eastAsia="仿宋_GB2312" w:cs="仿宋_GB2312"/>
          <w:sz w:val="24"/>
          <w:szCs w:val="24"/>
          <w:highlight w:val="none"/>
        </w:rPr>
        <w:t>专业教师共</w:t>
      </w:r>
      <w:r>
        <w:rPr>
          <w:rFonts w:hint="eastAsia" w:ascii="仿宋_GB2312" w:hAnsi="仿宋_GB2312" w:eastAsia="仿宋_GB2312" w:cs="仿宋_GB2312"/>
          <w:sz w:val="24"/>
          <w:szCs w:val="24"/>
          <w:highlight w:val="none"/>
          <w:lang w:val="en-US" w:eastAsia="zh-CN"/>
        </w:rPr>
        <w:t>18</w:t>
      </w:r>
      <w:r>
        <w:rPr>
          <w:rFonts w:hint="eastAsia" w:ascii="仿宋_GB2312" w:hAnsi="仿宋_GB2312" w:eastAsia="仿宋_GB2312" w:cs="仿宋_GB2312"/>
          <w:sz w:val="24"/>
          <w:szCs w:val="24"/>
          <w:highlight w:val="none"/>
        </w:rPr>
        <w:t>人，教授</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人，副教授</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lang w:val="en-US"/>
        </w:rPr>
        <w:t>人，</w:t>
      </w:r>
      <w:r>
        <w:rPr>
          <w:rFonts w:hint="eastAsia" w:ascii="仿宋_GB2312" w:hAnsi="仿宋_GB2312" w:eastAsia="仿宋_GB2312" w:cs="仿宋_GB2312"/>
          <w:sz w:val="24"/>
          <w:szCs w:val="24"/>
          <w:highlight w:val="none"/>
        </w:rPr>
        <w:t>博士学历</w:t>
      </w:r>
      <w:r>
        <w:rPr>
          <w:rFonts w:hint="eastAsia" w:ascii="仿宋_GB2312" w:hAnsi="仿宋_GB2312" w:eastAsia="仿宋_GB2312" w:cs="仿宋_GB2312"/>
          <w:sz w:val="24"/>
          <w:szCs w:val="24"/>
          <w:highlight w:val="none"/>
          <w:lang w:val="en-US"/>
        </w:rPr>
        <w:t>3</w:t>
      </w:r>
      <w:r>
        <w:rPr>
          <w:rFonts w:hint="eastAsia" w:ascii="仿宋_GB2312" w:hAnsi="仿宋_GB2312" w:eastAsia="仿宋_GB2312" w:cs="仿宋_GB2312"/>
          <w:sz w:val="24"/>
          <w:szCs w:val="24"/>
          <w:highlight w:val="none"/>
        </w:rPr>
        <w:t>人，有硕士及以上学历的比例</w:t>
      </w:r>
      <w:r>
        <w:rPr>
          <w:rFonts w:hint="eastAsia" w:ascii="仿宋_GB2312" w:hAnsi="仿宋_GB2312" w:eastAsia="仿宋_GB2312" w:cs="仿宋_GB2312"/>
          <w:sz w:val="24"/>
          <w:szCs w:val="24"/>
          <w:highlight w:val="none"/>
          <w:lang w:eastAsia="zh-CN"/>
        </w:rPr>
        <w:t>高</w:t>
      </w:r>
      <w:r>
        <w:rPr>
          <w:rFonts w:hint="eastAsia" w:ascii="仿宋_GB2312" w:hAnsi="仿宋_GB2312" w:eastAsia="仿宋_GB2312" w:cs="仿宋_GB2312"/>
          <w:sz w:val="24"/>
          <w:szCs w:val="24"/>
          <w:highlight w:val="none"/>
        </w:rPr>
        <w:t>达</w:t>
      </w:r>
      <w:r>
        <w:rPr>
          <w:rFonts w:hint="eastAsia" w:ascii="仿宋_GB2312" w:hAnsi="仿宋_GB2312" w:eastAsia="仿宋_GB2312" w:cs="仿宋_GB2312"/>
          <w:sz w:val="24"/>
          <w:szCs w:val="24"/>
          <w:highlight w:val="none"/>
          <w:lang w:val="en-US" w:eastAsia="zh-CN"/>
        </w:rPr>
        <w:t>100</w:t>
      </w:r>
      <w:r>
        <w:rPr>
          <w:rFonts w:hint="eastAsia" w:ascii="仿宋_GB2312" w:hAnsi="仿宋_GB2312" w:eastAsia="仿宋_GB2312" w:cs="仿宋_GB2312"/>
          <w:sz w:val="24"/>
          <w:szCs w:val="24"/>
          <w:highlight w:val="none"/>
        </w:rPr>
        <w:t>%，讲师或中级职称占比</w:t>
      </w:r>
      <w:r>
        <w:rPr>
          <w:rFonts w:hint="eastAsia" w:ascii="仿宋_GB2312" w:hAnsi="仿宋_GB2312" w:eastAsia="仿宋_GB2312" w:cs="仿宋_GB2312"/>
          <w:sz w:val="24"/>
          <w:szCs w:val="24"/>
          <w:highlight w:val="none"/>
          <w:lang w:val="en-US" w:eastAsia="zh-CN"/>
        </w:rPr>
        <w:t>50</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以上</w:t>
      </w:r>
      <w:r>
        <w:rPr>
          <w:rFonts w:hint="eastAsia" w:ascii="仿宋_GB2312" w:hAnsi="仿宋_GB2312" w:eastAsia="仿宋_GB2312" w:cs="仿宋_GB2312"/>
          <w:sz w:val="24"/>
          <w:szCs w:val="24"/>
          <w:highlight w:val="none"/>
        </w:rPr>
        <w:t>，双师型教师占比60%以上。此外，我院教师均已接受信息化技术培训，具备一定的信息化教学能力，能够灵活应对各种教学形式，完全能胜任成人教育的日常教学。</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4"/>
          <w:szCs w:val="24"/>
        </w:rPr>
      </w:pPr>
      <w:r>
        <w:rPr>
          <w:rFonts w:hint="eastAsia" w:ascii="仿宋_GB2312" w:hAnsi="仿宋_GB2312" w:eastAsia="仿宋_GB2312" w:cs="仿宋_GB2312"/>
          <w:b/>
          <w:bCs/>
          <w:color w:val="000000"/>
          <w:kern w:val="0"/>
          <w:sz w:val="24"/>
          <w:szCs w:val="24"/>
          <w:highlight w:val="none"/>
          <w:u w:val="none"/>
          <w:lang w:eastAsia="zh-CN" w:bidi="ar"/>
        </w:rPr>
        <w:t xml:space="preserve">    </w:t>
      </w:r>
      <w:r>
        <w:rPr>
          <w:rFonts w:hint="eastAsia" w:ascii="仿宋_GB2312" w:hAnsi="仿宋_GB2312" w:eastAsia="仿宋_GB2312" w:cs="仿宋_GB2312"/>
          <w:sz w:val="24"/>
          <w:szCs w:val="24"/>
        </w:rPr>
        <w:t>学校实行“管用分离”的管理模式，设立专门的实验室建设与管理部门，负责实验室的建设与管理工作，保障实验教学设备设施正常运作。本专业实验室数量为5间，总面积为2000平方米，教学实验仪器设备（含软件）的单价总值为5478001.1元，生均教学实验仪器设备（含软件）值为3000元，教学仪器设备基本能满足该专业的实验教学需要。</w:t>
      </w:r>
    </w:p>
    <w:p>
      <w:pPr>
        <w:pageBreakBefore w:val="0"/>
        <w:kinsoku/>
        <w:wordWrap/>
        <w:topLinePunct w:val="0"/>
        <w:autoSpaceDE/>
        <w:autoSpaceDN/>
        <w:bidi w:val="0"/>
        <w:spacing w:line="500" w:lineRule="exact"/>
        <w:jc w:val="center"/>
        <w:textAlignment w:val="auto"/>
        <w:rPr>
          <w:rFonts w:hint="eastAsia" w:ascii="黑体" w:hAnsi="黑体" w:eastAsia="黑体" w:cs="黑体"/>
          <w:sz w:val="24"/>
          <w:szCs w:val="24"/>
        </w:rPr>
      </w:pPr>
      <w:r>
        <w:rPr>
          <w:rFonts w:hint="eastAsia" w:ascii="黑体" w:hAnsi="黑体" w:eastAsia="黑体" w:cs="黑体"/>
          <w:b/>
          <w:bCs/>
          <w:sz w:val="24"/>
          <w:szCs w:val="24"/>
          <w:lang w:val="en-US" w:eastAsia="zh-CN"/>
        </w:rPr>
        <w:t>表六：</w:t>
      </w:r>
      <w:r>
        <w:rPr>
          <w:rFonts w:hint="eastAsia" w:ascii="黑体" w:hAnsi="黑体" w:eastAsia="黑体" w:cs="黑体"/>
          <w:b/>
          <w:bCs/>
          <w:sz w:val="24"/>
          <w:szCs w:val="24"/>
        </w:rPr>
        <w:t>校内实训（验）室建设</w:t>
      </w:r>
    </w:p>
    <w:tbl>
      <w:tblPr>
        <w:tblStyle w:val="13"/>
        <w:tblW w:w="8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025"/>
        <w:gridCol w:w="2767"/>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序 号</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实训（验）室名称</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实训课程</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jc w:val="center"/>
              <w:textAlignment w:val="auto"/>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外贸综合实训室</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外贸业务综合模拟、国际</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结算、商检与报关</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外贸流程模拟、国际结算模拟、报关报检模拟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跨境电商实训室</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跨境电子商务、外贸函电</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跨境电子商务模拟、函电实训、跨境电商ERP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社会机构模拟实验室</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企业行为模拟Ⅰ（手工沙盘）</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企业行为模拟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国际商务谈判室</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国际商务谈判与实践</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国际商务谈判模拟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8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计算机</w:t>
            </w:r>
            <w:r>
              <w:rPr>
                <w:rFonts w:hint="eastAsia" w:ascii="仿宋_GB2312" w:hAnsi="仿宋_GB2312" w:eastAsia="仿宋_GB2312" w:cs="仿宋_GB2312"/>
                <w:sz w:val="21"/>
                <w:szCs w:val="21"/>
                <w:lang w:eastAsia="zh-CN"/>
              </w:rPr>
              <w:t>综合</w:t>
            </w:r>
            <w:r>
              <w:rPr>
                <w:rFonts w:hint="eastAsia" w:ascii="仿宋_GB2312" w:hAnsi="仿宋_GB2312" w:eastAsia="仿宋_GB2312" w:cs="仿宋_GB2312"/>
                <w:sz w:val="21"/>
                <w:szCs w:val="21"/>
              </w:rPr>
              <w:t>实验室</w:t>
            </w:r>
          </w:p>
        </w:tc>
        <w:tc>
          <w:tcPr>
            <w:tcW w:w="276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计算机应用基础、数据库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应用基础</w:t>
            </w:r>
          </w:p>
        </w:tc>
        <w:tc>
          <w:tcPr>
            <w:tcW w:w="240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计算机基础应用学习</w:t>
            </w:r>
          </w:p>
        </w:tc>
      </w:tr>
    </w:tbl>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b/>
          <w:bCs/>
          <w:kern w:val="2"/>
          <w:sz w:val="24"/>
          <w:szCs w:val="24"/>
          <w:highlight w:val="none"/>
        </w:rPr>
      </w:pP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b/>
          <w:bCs/>
          <w:kern w:val="2"/>
          <w:sz w:val="24"/>
          <w:szCs w:val="24"/>
          <w:highlight w:val="none"/>
        </w:rPr>
      </w:pPr>
      <w:r>
        <w:rPr>
          <w:rFonts w:hint="eastAsia" w:ascii="仿宋_GB2312" w:hAnsi="仿宋_GB2312" w:eastAsia="仿宋_GB2312" w:cs="仿宋_GB2312"/>
          <w:b/>
          <w:bCs/>
          <w:kern w:val="2"/>
          <w:sz w:val="24"/>
          <w:szCs w:val="24"/>
          <w:highlight w:val="none"/>
        </w:rPr>
        <w:t>2.校外实习基地</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b w:val="0"/>
          <w:bCs w:val="0"/>
          <w:i w:val="0"/>
          <w:iCs w:val="0"/>
          <w:sz w:val="24"/>
          <w:szCs w:val="24"/>
          <w:lang w:eastAsia="zh-CN"/>
        </w:rPr>
      </w:pPr>
      <w:r>
        <w:rPr>
          <w:rFonts w:hint="eastAsia" w:ascii="仿宋_GB2312" w:hAnsi="仿宋_GB2312" w:eastAsia="仿宋_GB2312" w:cs="仿宋_GB2312"/>
          <w:b w:val="0"/>
          <w:bCs w:val="0"/>
          <w:i w:val="0"/>
          <w:iCs w:val="0"/>
          <w:sz w:val="24"/>
          <w:szCs w:val="24"/>
        </w:rPr>
        <w:t>根据专业建设和</w:t>
      </w:r>
      <w:r>
        <w:rPr>
          <w:rFonts w:hint="eastAsia" w:ascii="仿宋_GB2312" w:hAnsi="仿宋_GB2312" w:eastAsia="仿宋_GB2312" w:cs="仿宋_GB2312"/>
          <w:b w:val="0"/>
          <w:bCs w:val="0"/>
          <w:i w:val="0"/>
          <w:iCs w:val="0"/>
          <w:sz w:val="24"/>
          <w:szCs w:val="24"/>
          <w:lang w:val="en-US" w:eastAsia="zh-CN"/>
        </w:rPr>
        <w:t>继续教育</w:t>
      </w:r>
      <w:r>
        <w:rPr>
          <w:rFonts w:hint="eastAsia" w:ascii="仿宋_GB2312" w:hAnsi="仿宋_GB2312" w:eastAsia="仿宋_GB2312" w:cs="仿宋_GB2312"/>
          <w:b w:val="0"/>
          <w:bCs w:val="0"/>
          <w:i w:val="0"/>
          <w:iCs w:val="0"/>
          <w:sz w:val="24"/>
          <w:szCs w:val="24"/>
        </w:rPr>
        <w:t>人才培养标准，以及课程教学需求，</w:t>
      </w:r>
      <w:r>
        <w:rPr>
          <w:rFonts w:hint="eastAsia" w:ascii="仿宋_GB2312" w:hAnsi="仿宋_GB2312" w:eastAsia="仿宋_GB2312" w:cs="仿宋_GB2312"/>
          <w:b w:val="0"/>
          <w:bCs w:val="0"/>
          <w:i w:val="0"/>
          <w:iCs w:val="0"/>
          <w:sz w:val="24"/>
          <w:szCs w:val="24"/>
          <w:lang w:eastAsia="zh-CN"/>
        </w:rPr>
        <w:t>国际经济与贸易</w:t>
      </w:r>
      <w:r>
        <w:rPr>
          <w:rFonts w:hint="eastAsia" w:ascii="仿宋_GB2312" w:hAnsi="仿宋_GB2312" w:eastAsia="仿宋_GB2312" w:cs="仿宋_GB2312"/>
          <w:b w:val="0"/>
          <w:bCs w:val="0"/>
          <w:i w:val="0"/>
          <w:iCs w:val="0"/>
          <w:sz w:val="24"/>
          <w:szCs w:val="24"/>
        </w:rPr>
        <w:t>专业与中国建设银行有限公司、广州云端共享实业有限公司</w:t>
      </w:r>
      <w:r>
        <w:rPr>
          <w:rFonts w:hint="eastAsia" w:ascii="仿宋_GB2312" w:hAnsi="仿宋_GB2312" w:eastAsia="仿宋_GB2312" w:cs="仿宋_GB2312"/>
          <w:b w:val="0"/>
          <w:bCs w:val="0"/>
          <w:i w:val="0"/>
          <w:iCs w:val="0"/>
          <w:sz w:val="24"/>
          <w:szCs w:val="24"/>
          <w:lang w:eastAsia="zh-CN"/>
        </w:rPr>
        <w:t>、</w:t>
      </w:r>
      <w:r>
        <w:rPr>
          <w:rFonts w:hint="eastAsia" w:ascii="仿宋_GB2312" w:hAnsi="仿宋_GB2312" w:eastAsia="仿宋_GB2312" w:cs="仿宋_GB2312"/>
          <w:b w:val="0"/>
          <w:bCs w:val="0"/>
          <w:i w:val="0"/>
          <w:iCs w:val="0"/>
          <w:sz w:val="24"/>
          <w:szCs w:val="24"/>
        </w:rPr>
        <w:t>核新同花顺网络信息股份有限公司等</w:t>
      </w:r>
      <w:r>
        <w:rPr>
          <w:rFonts w:hint="eastAsia" w:ascii="仿宋_GB2312" w:hAnsi="仿宋_GB2312" w:eastAsia="仿宋_GB2312" w:cs="仿宋_GB2312"/>
          <w:b w:val="0"/>
          <w:bCs w:val="0"/>
          <w:i w:val="0"/>
          <w:iCs w:val="0"/>
          <w:sz w:val="24"/>
          <w:szCs w:val="24"/>
          <w:lang w:eastAsia="zh-CN"/>
        </w:rPr>
        <w:t>知名</w:t>
      </w:r>
      <w:r>
        <w:rPr>
          <w:rFonts w:hint="eastAsia" w:ascii="仿宋_GB2312" w:hAnsi="仿宋_GB2312" w:eastAsia="仿宋_GB2312" w:cs="仿宋_GB2312"/>
          <w:b w:val="0"/>
          <w:bCs w:val="0"/>
          <w:i w:val="0"/>
          <w:iCs w:val="0"/>
          <w:sz w:val="24"/>
          <w:szCs w:val="24"/>
        </w:rPr>
        <w:t>企业签订校企合作基地协议，在人才培养方案设计、课程设置、顶岗实习、人才输送、师资培训等方面实行合作，实现学校、企业、老师与学生共赢</w:t>
      </w:r>
      <w:r>
        <w:rPr>
          <w:rFonts w:hint="eastAsia" w:ascii="仿宋_GB2312" w:hAnsi="仿宋_GB2312" w:eastAsia="仿宋_GB2312" w:cs="仿宋_GB2312"/>
          <w:b w:val="0"/>
          <w:bCs w:val="0"/>
          <w:i w:val="0"/>
          <w:iCs w:val="0"/>
          <w:sz w:val="24"/>
          <w:szCs w:val="24"/>
          <w:lang w:eastAsia="zh-CN"/>
        </w:rPr>
        <w:t>。</w:t>
      </w:r>
    </w:p>
    <w:p>
      <w:pPr>
        <w:pageBreakBefore w:val="0"/>
        <w:kinsoku/>
        <w:wordWrap/>
        <w:topLinePunct w:val="0"/>
        <w:autoSpaceDE/>
        <w:autoSpaceDN/>
        <w:bidi w:val="0"/>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表七：国际经济与贸易专业校外实训基地建设标准</w:t>
      </w:r>
    </w:p>
    <w:tbl>
      <w:tblPr>
        <w:tblStyle w:val="13"/>
        <w:tblpPr w:leftFromText="180" w:rightFromText="180" w:vertAnchor="text" w:horzAnchor="margin" w:tblpXSpec="center" w:tblpY="93"/>
        <w:tblOverlap w:val="neve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634"/>
        <w:gridCol w:w="1096"/>
        <w:gridCol w:w="6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719" w:type="dxa"/>
            <w:vMerge w:val="restart"/>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校外实训基地建设标准</w:t>
            </w:r>
          </w:p>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634" w:type="dxa"/>
            <w:vMerge w:val="restart"/>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基本要求</w:t>
            </w:r>
          </w:p>
        </w:tc>
        <w:tc>
          <w:tcPr>
            <w:tcW w:w="1096"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配置要求</w:t>
            </w:r>
          </w:p>
        </w:tc>
        <w:tc>
          <w:tcPr>
            <w:tcW w:w="6073"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20" w:firstLineChars="200"/>
              <w:jc w:val="both"/>
              <w:textAlignment w:val="auto"/>
              <w:rPr>
                <w:rFonts w:hint="eastAsia" w:ascii="仿宋_GB2312" w:hAnsi="仿宋_GB2312" w:eastAsia="仿宋_GB2312" w:cs="仿宋_GB2312"/>
                <w:color w:val="404040" w:themeColor="text1" w:themeTint="BF"/>
                <w:sz w:val="21"/>
                <w:szCs w:val="21"/>
                <w:lang w:eastAsia="zh-CN"/>
                <w14:textFill>
                  <w14:solidFill>
                    <w14:schemeClr w14:val="tx1">
                      <w14:lumMod w14:val="75000"/>
                      <w14:lumOff w14:val="25000"/>
                    </w14:schemeClr>
                  </w14:solidFill>
                </w14:textFill>
              </w:rPr>
            </w:pP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校外实训基地建设能满足实习实训需要</w:t>
            </w:r>
            <w:r>
              <w:rPr>
                <w:rFonts w:hint="eastAsia" w:ascii="仿宋_GB2312" w:hAnsi="仿宋_GB2312" w:eastAsia="仿宋_GB2312" w:cs="仿宋_GB2312"/>
                <w:color w:val="404040" w:themeColor="text1" w:themeTint="BF"/>
                <w:sz w:val="21"/>
                <w:szCs w:val="21"/>
                <w:lang w:eastAsia="zh-CN"/>
                <w14:textFill>
                  <w14:solidFill>
                    <w14:schemeClr w14:val="tx1">
                      <w14:lumMod w14:val="75000"/>
                      <w14:lumOff w14:val="25000"/>
                    </w14:schemeClr>
                  </w14:solidFill>
                </w14:textFill>
              </w:rPr>
              <w:t>，基地类型包括但不限于外贸公司、跨境电商平台、跨境支付企业、跨境物流企业等。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 w:hRule="atLeast"/>
          <w:jc w:val="center"/>
        </w:trPr>
        <w:tc>
          <w:tcPr>
            <w:tcW w:w="719"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634"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1096"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校外实习基地建设与所需实训内容的适应性</w:t>
            </w:r>
          </w:p>
        </w:tc>
        <w:tc>
          <w:tcPr>
            <w:tcW w:w="6073"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20" w:firstLineChars="200"/>
              <w:jc w:val="both"/>
              <w:textAlignment w:val="auto"/>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根据人才培养目标要求，建立工学结合、校企合作的运行机制，</w:t>
            </w:r>
            <w:r>
              <w:rPr>
                <w:rFonts w:hint="eastAsia" w:ascii="仿宋_GB2312" w:hAnsi="仿宋_GB2312" w:eastAsia="仿宋_GB2312" w:cs="仿宋_GB2312"/>
                <w:color w:val="404040" w:themeColor="text1" w:themeTint="BF"/>
                <w:sz w:val="21"/>
                <w:szCs w:val="21"/>
                <w:lang w:eastAsia="zh-CN"/>
                <w14:textFill>
                  <w14:solidFill>
                    <w14:schemeClr w14:val="tx1">
                      <w14:lumMod w14:val="75000"/>
                      <w14:lumOff w14:val="25000"/>
                    </w14:schemeClr>
                  </w14:solidFill>
                </w14:textFill>
              </w:rPr>
              <w:t>校外实习基地</w:t>
            </w: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为学生实训提供场景、任务和必要的保障，能满足学生半年以上的顶岗实训任务；专业教师反哺企业，为企业经营管理、市场策划、产品设计、员工培训等提供帮助，形成长效合作机制。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19"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634" w:type="dxa"/>
            <w:vMerge w:val="restart"/>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实习基地建设措施</w:t>
            </w:r>
          </w:p>
        </w:tc>
        <w:tc>
          <w:tcPr>
            <w:tcW w:w="1096"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实训基地管理</w:t>
            </w:r>
          </w:p>
        </w:tc>
        <w:tc>
          <w:tcPr>
            <w:tcW w:w="6073"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20" w:firstLineChars="200"/>
              <w:jc w:val="both"/>
              <w:textAlignment w:val="auto"/>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有完善的规章制度，基地有专人管理，实现校企共同参与实训基地的管理；教学文件齐备、规章制度健全，实训教学安排科学、合理，设备管理制度、安全操作规程、相关规章制度健全，并严格执行。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719"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634"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1096"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实训基地考核</w:t>
            </w:r>
          </w:p>
        </w:tc>
        <w:tc>
          <w:tcPr>
            <w:tcW w:w="6073"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20" w:firstLineChars="200"/>
              <w:jc w:val="both"/>
              <w:textAlignment w:val="auto"/>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学校设有专门机构对校外实训基地进行考核评估；能充分发挥实训设备的使用效益；有实训基地考核结果。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719"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634" w:type="dxa"/>
            <w:vMerge w:val="continue"/>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80"/>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p>
        </w:tc>
        <w:tc>
          <w:tcPr>
            <w:tcW w:w="1096"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jc w:val="center"/>
              <w:textAlignment w:val="auto"/>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b/>
                <w:bCs/>
                <w:color w:val="404040" w:themeColor="text1" w:themeTint="BF"/>
                <w:sz w:val="21"/>
                <w:szCs w:val="21"/>
                <w14:textFill>
                  <w14:solidFill>
                    <w14:schemeClr w14:val="tx1">
                      <w14:lumMod w14:val="75000"/>
                      <w14:lumOff w14:val="25000"/>
                    </w14:schemeClr>
                  </w14:solidFill>
                </w14:textFill>
              </w:rPr>
              <w:t>校外实习基地建设规划</w:t>
            </w:r>
          </w:p>
        </w:tc>
        <w:tc>
          <w:tcPr>
            <w:tcW w:w="6073" w:type="dxa"/>
            <w:vAlign w:val="center"/>
          </w:tcPr>
          <w:p>
            <w:pPr>
              <w:pStyle w:val="29"/>
              <w:keepNext w:val="0"/>
              <w:keepLines w:val="0"/>
              <w:pageBreakBefore w:val="0"/>
              <w:widowControl w:val="0"/>
              <w:kinsoku/>
              <w:wordWrap/>
              <w:overflowPunct w:val="0"/>
              <w:topLinePunct w:val="0"/>
              <w:autoSpaceDE/>
              <w:autoSpaceDN/>
              <w:bidi w:val="0"/>
              <w:adjustRightInd w:val="0"/>
              <w:snapToGrid w:val="0"/>
              <w:spacing w:line="240" w:lineRule="auto"/>
              <w:ind w:firstLine="420" w:firstLineChars="200"/>
              <w:jc w:val="both"/>
              <w:textAlignment w:val="auto"/>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pPr>
            <w:r>
              <w:rPr>
                <w:rFonts w:hint="eastAsia" w:ascii="仿宋_GB2312" w:hAnsi="仿宋_GB2312" w:eastAsia="仿宋_GB2312" w:cs="仿宋_GB2312"/>
                <w:color w:val="404040" w:themeColor="text1" w:themeTint="BF"/>
                <w:sz w:val="21"/>
                <w:szCs w:val="21"/>
                <w14:textFill>
                  <w14:solidFill>
                    <w14:schemeClr w14:val="tx1">
                      <w14:lumMod w14:val="75000"/>
                      <w14:lumOff w14:val="25000"/>
                    </w14:schemeClr>
                  </w14:solidFill>
                </w14:textFill>
              </w:rPr>
              <w:t>依托企业建立校外实习基地；产学合作，资源共享，双赢互利，良性发展；建立由行业、企业专家和学校有关人员共同组成的专业教学指导委员会，并形成有效的工作机制；企业接纳专业教师开展实践活动，接收学生开展顶岗实习与专业培训。</w:t>
            </w:r>
          </w:p>
        </w:tc>
      </w:tr>
    </w:tbl>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kinsoku/>
        <w:wordWrap/>
        <w:topLinePunct w:val="0"/>
        <w:autoSpaceDE/>
        <w:autoSpaceDN/>
        <w:bidi w:val="0"/>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金融服务与管理专业教学资源丰富，不但拥有齐全的专业实训设备和仿真实训软件等教学设施，还有成人教育教材、图书馆电子数字资源、网上教学平台等教学资源，可完全满足成人教育线上、线下混合一体化的信息化教学。</w:t>
      </w:r>
    </w:p>
    <w:p>
      <w:pPr>
        <w:pageBreakBefore w:val="0"/>
        <w:kinsoku/>
        <w:wordWrap/>
        <w:topLinePunct w:val="0"/>
        <w:autoSpaceDE/>
        <w:autoSpaceDN/>
        <w:bidi w:val="0"/>
        <w:spacing w:line="500" w:lineRule="exact"/>
        <w:ind w:left="420" w:left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）图书文献</w:t>
      </w:r>
    </w:p>
    <w:p>
      <w:pPr>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我校图书馆现有藏书达 258万册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其中中文图</w:t>
      </w:r>
      <w:r>
        <w:rPr>
          <w:rFonts w:hint="eastAsia" w:ascii="仿宋_GB2312" w:hAnsi="仿宋_GB2312" w:eastAsia="仿宋_GB2312" w:cs="仿宋_GB2312"/>
          <w:sz w:val="24"/>
          <w:szCs w:val="24"/>
          <w:lang w:val="en-US" w:eastAsia="zh-CN"/>
        </w:rPr>
        <w:t>书247.2660</w:t>
      </w:r>
      <w:r>
        <w:rPr>
          <w:rFonts w:hint="eastAsia" w:ascii="仿宋_GB2312" w:hAnsi="仿宋_GB2312" w:eastAsia="仿宋_GB2312" w:cs="仿宋_GB2312"/>
          <w:sz w:val="24"/>
          <w:szCs w:val="24"/>
        </w:rPr>
        <w:t xml:space="preserve">万册、外文图书4,5801万册、期刊合订本 2.2878万册；订有现刊 830种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其中期刊 759种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含外文期刊 24种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，报纸 71种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含外文报纸 3种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；购买超星数字图书馆电子图书 31万种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清华同方中国知网七个专辑和中国财经教育资源共享平台，清华同方中国知网 (CNKI</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七个专辑具体其中 包含中国学术期刊论文、重要会议论文、博硕士论文、重要报纸全文等约5700多万篇</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基本上涵盖了我校所设各个专业所需的文献资料。</w:t>
      </w:r>
    </w:p>
    <w:p>
      <w:pPr>
        <w:pageBreakBefore w:val="0"/>
        <w:numPr>
          <w:ilvl w:val="0"/>
          <w:numId w:val="5"/>
        </w:numPr>
        <w:kinsoku/>
        <w:wordWrap/>
        <w:topLinePunct w:val="0"/>
        <w:autoSpaceDE/>
        <w:autoSpaceDN/>
        <w:bidi w:val="0"/>
        <w:spacing w:line="500" w:lineRule="exact"/>
        <w:ind w:left="420" w:left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数字资源</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b w:val="0"/>
          <w:bCs w:val="0"/>
          <w:sz w:val="24"/>
          <w:szCs w:val="24"/>
        </w:rPr>
        <w:t>本专业目前拥有</w:t>
      </w:r>
      <w:r>
        <w:rPr>
          <w:rFonts w:hint="eastAsia" w:ascii="仿宋_GB2312" w:hAnsi="仿宋_GB2312" w:eastAsia="仿宋_GB2312" w:cs="仿宋_GB2312"/>
          <w:b w:val="0"/>
          <w:bCs w:val="0"/>
          <w:sz w:val="24"/>
          <w:szCs w:val="24"/>
          <w:lang w:eastAsia="zh-CN"/>
        </w:rPr>
        <w:t>部分</w:t>
      </w:r>
      <w:r>
        <w:rPr>
          <w:rFonts w:hint="eastAsia" w:ascii="仿宋_GB2312" w:hAnsi="仿宋_GB2312" w:eastAsia="仿宋_GB2312" w:cs="仿宋_GB2312"/>
          <w:b w:val="0"/>
          <w:bCs w:val="0"/>
          <w:sz w:val="24"/>
          <w:szCs w:val="24"/>
        </w:rPr>
        <w:t>与成人教育相适应的专业课程教学课件、课程标准、教学视频等数字资源，并依托现有超星、智慧职教线上教学平台，逐步建设和完善符合成人教育学生的教学网络平台和教学资源库。</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Style w:val="2"/>
        <w:pageBreakBefore w:val="0"/>
        <w:kinsoku/>
        <w:wordWrap/>
        <w:topLinePunct w:val="0"/>
        <w:autoSpaceDE/>
        <w:autoSpaceDN/>
        <w:bidi w:val="0"/>
        <w:spacing w:line="500" w:lineRule="exact"/>
        <w:ind w:left="0" w:leftChars="0"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val="en-US" w:eastAsia="zh-CN" w:bidi="ar"/>
        </w:rPr>
        <w:t>第一，</w:t>
      </w:r>
      <w:r>
        <w:rPr>
          <w:rFonts w:hint="eastAsia" w:ascii="仿宋_GB2312" w:hAnsi="仿宋_GB2312" w:eastAsia="仿宋_GB2312" w:cs="仿宋_GB2312"/>
          <w:color w:val="000000"/>
          <w:sz w:val="24"/>
          <w:szCs w:val="24"/>
          <w:highlight w:val="none"/>
          <w:u w:val="none"/>
          <w:lang w:bidi="ar"/>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pStyle w:val="2"/>
        <w:pageBreakBefore w:val="0"/>
        <w:kinsoku/>
        <w:wordWrap/>
        <w:topLinePunct w:val="0"/>
        <w:autoSpaceDE/>
        <w:autoSpaceDN/>
        <w:bidi w:val="0"/>
        <w:spacing w:line="500" w:lineRule="exact"/>
        <w:ind w:firstLine="480"/>
        <w:textAlignment w:val="auto"/>
        <w:rPr>
          <w:rFonts w:hint="eastAsia" w:ascii="仿宋_GB2312" w:hAnsi="仿宋_GB2312" w:eastAsia="仿宋_GB2312" w:cs="仿宋_GB2312"/>
          <w:color w:val="000000"/>
          <w:sz w:val="24"/>
          <w:szCs w:val="24"/>
          <w:highlight w:val="none"/>
          <w:u w:val="none"/>
          <w:lang w:bidi="ar"/>
        </w:rPr>
      </w:pPr>
      <w:bookmarkStart w:id="1" w:name="bookmark87"/>
      <w:bookmarkEnd w:id="1"/>
      <w:r>
        <w:rPr>
          <w:rFonts w:hint="eastAsia" w:ascii="仿宋_GB2312" w:hAnsi="仿宋_GB2312" w:eastAsia="仿宋_GB2312" w:cs="仿宋_GB2312"/>
          <w:color w:val="000000"/>
          <w:sz w:val="24"/>
          <w:szCs w:val="24"/>
          <w:highlight w:val="none"/>
          <w:u w:val="none"/>
          <w:lang w:val="en-US" w:eastAsia="zh-CN" w:bidi="ar"/>
        </w:rPr>
        <w:t>第二，</w:t>
      </w:r>
      <w:r>
        <w:rPr>
          <w:rFonts w:hint="eastAsia" w:ascii="仿宋_GB2312" w:hAnsi="仿宋_GB2312" w:eastAsia="仿宋_GB2312" w:cs="仿宋_GB2312"/>
          <w:color w:val="000000"/>
          <w:sz w:val="24"/>
          <w:szCs w:val="24"/>
          <w:highlight w:val="none"/>
          <w:u w:val="none"/>
          <w:lang w:bidi="ar"/>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bookmarkStart w:id="2" w:name="bookmark88"/>
      <w:bookmarkEnd w:id="2"/>
      <w:r>
        <w:rPr>
          <w:rFonts w:hint="eastAsia" w:ascii="仿宋_GB2312" w:hAnsi="仿宋_GB2312" w:eastAsia="仿宋_GB2312" w:cs="仿宋_GB2312"/>
          <w:color w:val="000000"/>
          <w:sz w:val="24"/>
          <w:szCs w:val="24"/>
          <w:highlight w:val="none"/>
          <w:u w:val="none"/>
          <w:lang w:val="en-US" w:eastAsia="zh-CN" w:bidi="ar"/>
        </w:rPr>
        <w:t>第三，</w:t>
      </w:r>
      <w:r>
        <w:rPr>
          <w:rFonts w:hint="eastAsia" w:ascii="仿宋_GB2312" w:hAnsi="仿宋_GB2312" w:eastAsia="仿宋_GB2312" w:cs="仿宋_GB2312"/>
          <w:color w:val="000000"/>
          <w:sz w:val="24"/>
          <w:szCs w:val="24"/>
          <w:highlight w:val="none"/>
          <w:u w:val="none"/>
          <w:lang w:bidi="ar"/>
        </w:rPr>
        <w:t>建立毕业生跟踪反馈机制及社会评价机制，并对生源情况、在校生学业水平、毕业生就业情况等进行分析，定期评价人才培养质量和培养目标达成情况。</w:t>
      </w:r>
      <w:bookmarkStart w:id="3" w:name="bookmark89"/>
      <w:bookmarkEnd w:id="3"/>
      <w:r>
        <w:rPr>
          <w:rFonts w:hint="eastAsia" w:ascii="仿宋_GB2312" w:hAnsi="仿宋_GB2312" w:eastAsia="仿宋_GB2312" w:cs="仿宋_GB2312"/>
          <w:color w:val="000000"/>
          <w:sz w:val="24"/>
          <w:szCs w:val="24"/>
          <w:highlight w:val="none"/>
          <w:u w:val="none"/>
          <w:lang w:bidi="ar"/>
        </w:rPr>
        <w:t>专业</w:t>
      </w:r>
      <w:r>
        <w:rPr>
          <w:rFonts w:hint="eastAsia" w:ascii="仿宋_GB2312" w:hAnsi="仿宋_GB2312" w:eastAsia="仿宋_GB2312" w:cs="仿宋_GB2312"/>
          <w:color w:val="000000"/>
          <w:sz w:val="24"/>
          <w:szCs w:val="24"/>
          <w:highlight w:val="none"/>
          <w:u w:val="none"/>
          <w:lang w:val="en-US" w:eastAsia="zh-CN" w:bidi="ar"/>
        </w:rPr>
        <w:t>建设委员会</w:t>
      </w:r>
      <w:r>
        <w:rPr>
          <w:rFonts w:hint="eastAsia" w:ascii="仿宋_GB2312" w:hAnsi="仿宋_GB2312" w:eastAsia="仿宋_GB2312" w:cs="仿宋_GB2312"/>
          <w:color w:val="000000"/>
          <w:sz w:val="24"/>
          <w:szCs w:val="24"/>
          <w:highlight w:val="none"/>
          <w:u w:val="none"/>
          <w:lang w:bidi="ar"/>
        </w:rPr>
        <w:t>充分利用评价分析结果有效改进专业教学，持续提高人才培养质量。</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64513"/>
    <w:multiLevelType w:val="singleLevel"/>
    <w:tmpl w:val="CDF64513"/>
    <w:lvl w:ilvl="0" w:tentative="0">
      <w:start w:val="2"/>
      <w:numFmt w:val="decimal"/>
      <w:suff w:val="nothing"/>
      <w:lvlText w:val="（%1）"/>
      <w:lvlJc w:val="left"/>
    </w:lvl>
  </w:abstractNum>
  <w:abstractNum w:abstractNumId="1">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2">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3">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4">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1B5355D"/>
    <w:rsid w:val="0A834EA7"/>
    <w:rsid w:val="129B4A60"/>
    <w:rsid w:val="14001C38"/>
    <w:rsid w:val="1C87088E"/>
    <w:rsid w:val="1DB6391C"/>
    <w:rsid w:val="25130E19"/>
    <w:rsid w:val="255646AA"/>
    <w:rsid w:val="29C62039"/>
    <w:rsid w:val="2A2F7B50"/>
    <w:rsid w:val="2C61509C"/>
    <w:rsid w:val="47C31FFE"/>
    <w:rsid w:val="4EBD0072"/>
    <w:rsid w:val="65791F07"/>
    <w:rsid w:val="67BC2B46"/>
    <w:rsid w:val="7527049B"/>
    <w:rsid w:val="766607C5"/>
    <w:rsid w:val="7BCF38C9"/>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_Style 4"/>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9515</Words>
  <Characters>10124</Characters>
  <Lines>33</Lines>
  <Paragraphs>9</Paragraphs>
  <TotalTime>0</TotalTime>
  <ScaleCrop>false</ScaleCrop>
  <LinksUpToDate>false</LinksUpToDate>
  <CharactersWithSpaces>10195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2023-06-27T01:21:25Z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8D71958300AF45B4BE7EE390A8C7CF0F_13</vt:lpwstr>
  </property>
</Properties>
</file>