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人力资源管理</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人力资源管理</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val="en-US" w:eastAsia="zh-CN"/>
        </w:rPr>
        <w:t>工商管理类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val="en-US" w:eastAsia="zh-CN"/>
        </w:rPr>
        <w:t xml:space="preserve">120206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val="en-US" w:eastAsia="zh-CN"/>
        </w:rPr>
        <w:t xml:space="preserve">管理学学士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sz w:val="24"/>
          <w:szCs w:val="24"/>
        </w:rPr>
        <w:t>人力资源管理专业培养适应粤港澳大湾区社会经济发展需要的德、智、体、美、劳全面发展，具有现代人力资源管理基础理论知识，具备开发与管理人力资源的实际操作技能；具备现代管理理念和良好的职业道德，能在中小型工商企业和事业单位，从事人力资源管理以及相关行政管理工作的中级以上高素质技术技能型人才。本专业注重培养学生规划、招聘、培训、绩效、薪酬、劳动关系、职业生涯、行政管理等专业特长。</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坚定拥护中国共产党领导和我国社会主义制度</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rPr>
        <w:t>在习近平新时代中国特色社会主义思想指引下，践行社会主义核心价值观，具有深厚的爱国情感和中华民族自豪感；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崇尚宪法、遵法守纪、崇德向善、诚实守信、尊重生命、热爱劳动，履行道德准则和行为规范，具有社会责任感和社会参与意识；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（2）积极参加体育锻炼，达到大学生体育合格标准；接受必要的军事训练；身体健康，心理状态良好；有较强的适应能力、承受能力和人际交往能力。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（3）具有一定的专业视野，培养较高的文化品位和高尚的情操，具有一定的创新思维与科学思维。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lang w:eastAsia="zh-CN"/>
        </w:rPr>
        <w:t>（4）具有良好的职业态度和职业道德修养；具有爱岗敬业、诚实守信、办事公道、奉献社会的精神和严谨求实的作风；具有从事职业活动所必需的人力资源管理、创新素质。</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rPr>
        <w:t>掌握一门外语与计算机基本知识；掌握管理学基础、人力资源管理、经济法、人力资源统计学、企业行政管理、人际关系与沟通和企业文化等方面的知识；掌握现代人力资源管理的专业知识，如招聘与配置、培训与开发、绩效管理、薪酬管理、劳动关系、职业生涯管理等方</w:t>
      </w:r>
      <w:r>
        <w:rPr>
          <w:rFonts w:hint="eastAsia" w:ascii="仿宋_GB2312" w:hAnsi="仿宋_GB2312" w:eastAsia="仿宋_GB2312" w:cs="仿宋_GB2312"/>
          <w:sz w:val="24"/>
          <w:szCs w:val="24"/>
          <w:lang w:val="en-US" w:eastAsia="zh-Hans"/>
        </w:rPr>
        <w:t>法</w:t>
      </w:r>
      <w:r>
        <w:rPr>
          <w:rFonts w:hint="eastAsia" w:ascii="仿宋_GB2312" w:hAnsi="仿宋_GB2312" w:eastAsia="仿宋_GB2312" w:cs="仿宋_GB2312"/>
          <w:sz w:val="24"/>
          <w:szCs w:val="24"/>
          <w:lang w:eastAsia="zh-Hans"/>
        </w:rPr>
        <w:t>。</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rPr>
        <w:t>具备获取本专业知识、更新知识和应用知识的能力，良好的表达能力和计算机及信息技术应用能力，具有一定的社交能力；能将所学的基础理论与专业知识融会贯通，灵活地综合应用于管理实践，能独立分析和解决人力资源管理领域中的管理实际问题；有创新意识，掌握进行创造活动的思维方法，具备一定的创新性思维和探索能力；富有创新精神、创业意识，致力于创造新事物（新产品、新市场、新管理方法等）的能力，能运用各种方法去利用和开发它们，勇于投身实践。</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806"/>
        <w:gridCol w:w="7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管理学</w:t>
            </w:r>
          </w:p>
        </w:tc>
        <w:tc>
          <w:tcPr>
            <w:tcW w:w="366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kern w:val="2"/>
                <w:sz w:val="21"/>
                <w:szCs w:val="21"/>
                <w:lang w:val="en-US" w:eastAsia="zh-CN" w:bidi="ar-SA"/>
              </w:rPr>
              <w:t>本课程的目的在于帮助学生掌握组织管理工作的基本理论与思想，以及对组织实现科学管理的基本途径；培养学生具备能从管理者的视野分析、思考和解决企业以及其他各类组织健康和成功运行的基本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微观经济学</w:t>
            </w:r>
          </w:p>
        </w:tc>
        <w:tc>
          <w:tcPr>
            <w:tcW w:w="366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本课程</w:t>
            </w:r>
            <w:r>
              <w:rPr>
                <w:rFonts w:hint="eastAsia" w:ascii="仿宋_GB2312" w:hAnsi="仿宋_GB2312" w:eastAsia="仿宋_GB2312" w:cs="仿宋_GB2312"/>
                <w:sz w:val="21"/>
                <w:szCs w:val="21"/>
                <w:highlight w:val="none"/>
                <w:vertAlign w:val="baseline"/>
              </w:rPr>
              <w:t>以价格理论为中心，研究企业、家庭和单个市场等微观供求行为与价格之间关系。学习内容包括供求的含义及均衡价格的形成、与消费相关的效用论、与生产相关的生产理论和成本理论、市场与厂商理论和市场与福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宏观经济学</w:t>
            </w:r>
          </w:p>
        </w:tc>
        <w:tc>
          <w:tcPr>
            <w:tcW w:w="366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本课程</w:t>
            </w:r>
            <w:r>
              <w:rPr>
                <w:rFonts w:hint="eastAsia" w:ascii="仿宋_GB2312" w:hAnsi="仿宋_GB2312" w:eastAsia="仿宋_GB2312" w:cs="仿宋_GB2312"/>
                <w:sz w:val="21"/>
                <w:szCs w:val="21"/>
                <w:highlight w:val="none"/>
                <w:vertAlign w:val="baseline"/>
              </w:rPr>
              <w:t>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市场营销学</w:t>
            </w:r>
          </w:p>
        </w:tc>
        <w:tc>
          <w:tcPr>
            <w:tcW w:w="366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auto"/>
                <w:kern w:val="2"/>
                <w:sz w:val="21"/>
                <w:szCs w:val="21"/>
                <w:lang w:val="en-US" w:eastAsia="zh-CN" w:bidi="ar-SA"/>
              </w:rPr>
              <w:t>当代营销学的基本理论和营销管理决策的具体方法。其主要内容有：企业在全球化网络时代确立以顾客价值为核心的市场营销的经营观念；审视宏微观环境、发现市场机会的方法；营销调研的原理和方法；消费者和组织购买市场与行为；市场细分、目标市场的选择及市场覆盖战略的确定；竞争分析及品牌定位方法；产品、服务、定价、营销渠道和沟通等方面的策略设计和运作的基本概念和方法；以及市场营销思想在全球化和可持续发展理念下的拓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会计学</w:t>
            </w:r>
          </w:p>
        </w:tc>
        <w:tc>
          <w:tcPr>
            <w:tcW w:w="366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kern w:val="0"/>
                <w:sz w:val="21"/>
                <w:szCs w:val="21"/>
                <w:lang w:val="en-US" w:eastAsia="zh-CN" w:bidi="ar-SA"/>
              </w:rPr>
              <w:t>课程重点介绍会计学的基本理论和方法，主要包括会计核算的前提和一般原则、会计核算方法体系、账户的设置与借贷记账法的应用、会计凭证的填制和会计报表的编制方法及其要求等。在此基础上，结合企业经济业务实际，概括说明资金筹集业务、资金循环与周转业务、财务成果形成与分配等业务的核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数据库应用基础</w:t>
            </w:r>
          </w:p>
        </w:tc>
        <w:tc>
          <w:tcPr>
            <w:tcW w:w="366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2"/>
                <w:sz w:val="21"/>
                <w:szCs w:val="21"/>
                <w:lang w:val="en-US" w:eastAsia="zh-CN" w:bidi="ar-SA"/>
              </w:rPr>
              <w:t>课程主要介绍数据库技术的基本理论和操作技能，使 学生理解和掌握数据管理的基本思维方法和软件操作方法，并从数据管理视角提升计算思维水平和计算应用能力，为 学习数据科学、信息系统等后续课程奠定基础。 课程目标1：学 生应掌握数据库基本原理及主要技能，包 括数据库概念、组成及常用技能。 课程目标2：学 生应能利用所学知识和技能解决实际问题，包 括数据库设计、实施以及测试。 从而培养学生的数据应用能力。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统计学</w:t>
            </w:r>
          </w:p>
        </w:tc>
        <w:tc>
          <w:tcPr>
            <w:tcW w:w="366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b w:val="0"/>
                <w:bCs w:val="0"/>
                <w:color w:val="auto"/>
                <w:kern w:val="2"/>
                <w:sz w:val="21"/>
                <w:szCs w:val="21"/>
                <w:lang w:val="en-US" w:eastAsia="zh-CN" w:bidi="ar-SA"/>
              </w:rPr>
              <w:t>本课程首先对统计学的概念、学科性质进行讲述，并介绍统计学的发展简史和应用领域；其次介绍统计学的基本问题，包括数据的类型、统计学的常用术语、统计指标与统计指标体系、统计计算工具；再次介绍描述统计学的基本内容，包括统计资料的搜集与整理、统计表与统计图、集中趋势的描述、离中趋势的描述、分布偏态与峰度的测度、指数体系与因素分析、相关与回归分析、时间序列分析、统计综合评价等；接着介绍了推断统计学的基本内容，包括参数估计、假设检验、方差分析；最后对统计学基本理论与统计思想进行拓展学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公司治理</w:t>
            </w:r>
          </w:p>
        </w:tc>
        <w:tc>
          <w:tcPr>
            <w:tcW w:w="3661"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auto"/>
                <w:kern w:val="2"/>
                <w:sz w:val="21"/>
                <w:szCs w:val="21"/>
                <w:lang w:val="en-US" w:eastAsia="zh-CN" w:bidi="ar-SA"/>
              </w:rPr>
              <w:t> 本课程力求全面、系统地介绍公司治理理论，并从不同维度揭示现代公司治理结构、公司治理机制、新经济背景下公司治理变革与发展事件。本课程集合了对外经济贸易大学国际商学院多位不同研究背景的老师主讲，立足公司治理实践、聚焦学术研究前沿，课程可适用于经济与管理类本科生、学术型硕士、博士以及EMBA、MBA、MPACC、Maud、金融专业硕士学习公司治理的相关理论和实践。</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1806"/>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人力资源管理</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kern w:val="2"/>
                <w:sz w:val="21"/>
                <w:szCs w:val="21"/>
                <w:lang w:val="en-US" w:eastAsia="zh-CN" w:bidi="ar-SA"/>
              </w:rPr>
              <w:t>人力资源管理是企业决策者与经营管理者必须掌握的基础理论与专业知识，也是各级管理人员所必备的理论工具。 本课程以公司人力资源价值最大化为管理目标，以个体分析为基础，以人力资源的选、育、用、留等活动为主线，系统介绍了人力资源管理的相关理论和方法。 本课程的主要内容涵盖了人力资源战略和规划、工作分析、人员培训与开发、招聘与测评、绩效管理与薪酬管理、职业生涯发展等核心内容，通过案例分析和理论讲解，帮助掌握相关工具与方法。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组织行为学</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kern w:val="2"/>
                <w:sz w:val="21"/>
                <w:szCs w:val="21"/>
                <w:lang w:val="en-US" w:eastAsia="zh-CN" w:bidi="ar-SA"/>
              </w:rPr>
              <w:t>本课程侧重于如何帮助领导者理解激励组织中的人；有效地整合组织内部的资源；并成功地应对内外部环境变化。课程将围绕变动环境中组织管理面临的人员管理的问题而设计，启迪学员理解不确定环境下组织当中的个人和群体的行为特性及其管理。通过讨论主流组织行为学理论及前沿的学术和实践知识，让学员理解组织行为管理的一般性规律。同时，课程将结合中国社会和文化的现实，启发学员透视当代中国组织管理所具有的特殊性，促进学生思考中国人的心理与行为的特征对管理实践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战略管理</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2"/>
                <w:sz w:val="21"/>
                <w:szCs w:val="21"/>
                <w:lang w:val="en-US" w:eastAsia="zh-CN" w:bidi="ar-SA"/>
              </w:rPr>
              <w:t>本课程是以管理学、企业管理学为基础，紧密联系并应用包括财务管理学、市场营销学、生产运作管理、信息系统管理、人力资源管理等专业知识，是一门综合性较强的专业必修课。 战略管理被称为工商管理专业的“顶石” 课程（Capstone course），重在培养战略思维及战略执行能力，使管理者能够站在更高的层面关注环境、审视企业，提升企业航船掌舵人的把握未来、驾驭整体的能力。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运营管理</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auto"/>
                <w:kern w:val="2"/>
                <w:sz w:val="21"/>
                <w:szCs w:val="21"/>
                <w:lang w:val="en-US" w:eastAsia="zh-CN" w:bidi="ar-SA"/>
              </w:rPr>
              <w:t>《运营管理》课程系统地介绍过程管理概念、过程、工具和技术，可以作为经济与管理类本科生的专业基础课，也可供管理类研究生和经理人学习。通过本课程，学员能够理解现代管理的思想，掌握运营过程、资源计划、组织、控制与改进的方法，把握现代运营管理的系统知识，增强分析和解决运营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管理沟通技巧与方法</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2"/>
                <w:sz w:val="21"/>
                <w:szCs w:val="21"/>
                <w:lang w:val="en-US" w:eastAsia="zh-CN" w:bidi="ar-SA"/>
              </w:rPr>
              <w:t>本课程学习的主要目的在于提高学生在以下方面的能力：建立能给人深刻印象的规范演示，并自信、沉着地传递信息；发送和接收有益于自己的或者其他人的沟通的反馈；理解地倾听；在组织或团队中高效率地工作；理解并处理自己和其他来自不同文化的同伴之间的分歧。 通过本课程的教学，使学生了解管理沟通的基础知识，掌握沟通的基本策略，熟悉常用的沟通形式，建立建设性沟通意识，掌握有效沟通的基本技巧，尤其是面谈、当众讲话、团队沟通、冲突处理等基本技能，为工作、生活中的有效沟通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绩效管理</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2"/>
                <w:sz w:val="21"/>
                <w:szCs w:val="21"/>
                <w:lang w:val="en-US" w:eastAsia="zh-CN" w:bidi="ar-SA"/>
              </w:rPr>
              <w:t>《绩效管理》是人力资源管理专业的一门主要专业课程，也是一门理论性和实践性都很强学科。 通过本课程的学习，使学生对绩效管理有比较系统和全面的认识，了解和掌握绩效管理的有关概念、方法及原理；掌握绩效评价指标体系及其设计的方法；熟悉绩效考评的程序；能够利用所学知识分析绩效问题，了解如何通过绩效管理制度引导企业行为，掌握解决现实中企业有关绩效管理方面问题的方法；学生毕业后具备组织和从事企业人力资源管理中绩效管理工作职能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领导学</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kern w:val="2"/>
                <w:sz w:val="21"/>
                <w:szCs w:val="21"/>
                <w:lang w:val="en-US" w:eastAsia="zh-CN" w:bidi="ar-SA"/>
              </w:rPr>
              <w:t>领导学是一门专门用来研究如何提高领导效能的综合性的理论学科。该课程是以领导活动为主要的研究对象，通过对领导的实质、领导理论、领导决策、领导素质、领导者影响力、领导者用人与用权、领导者协调以及对领导者的绩效评价等方面内容的研究，目的是以此来提高领导者的管理能力和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lang w:val="en-US" w:eastAsia="zh-CN"/>
              </w:rPr>
              <w:t>薪酬与福利</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2"/>
                <w:sz w:val="21"/>
                <w:szCs w:val="21"/>
                <w:lang w:val="en-US" w:eastAsia="zh-CN" w:bidi="ar-SA"/>
              </w:rPr>
              <w:t>《薪酬与福利》是人力资源管理专业必修课程，从企业经营与战略的高度以及整体人力资源管理体系的角度，来阐释薪酬与福利在现代企业中的运用，不仅从管理学、经济学等多学科视角对薪酬与福利相关内容进行理论上的阐释，并且注重对于薪酬与福利管理的实际操作、工具和技术的讲授，主要围绕职位分析与评价、薪酬结构与薪酬等级设计、绩效奖励与认可计划、主要基本模块的设计与管理、不同类型人员的薪酬设计方案等展开系统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lang w:val="en-US" w:eastAsia="zh-CN"/>
              </w:rPr>
              <w:t>劳动关系与劳动法</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2"/>
                <w:sz w:val="21"/>
                <w:szCs w:val="21"/>
                <w:lang w:val="en-US" w:eastAsia="zh-CN" w:bidi="ar-SA"/>
              </w:rPr>
              <w:t>《劳动关系与劳动法》是人力资源管理专业高等教育的专业核心课程，它主要从劳动关系概述、劳动关系立法、劳动法、劳动合同法、企业用工管理、社会保险法、劳动争议处理等方面阐述了我国劳动关系及劳动法的立法基础、调整的对象以及调整的程序和方法，是一门既有理论性又有实践性的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招聘与人才测评</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kern w:val="2"/>
                <w:sz w:val="21"/>
                <w:szCs w:val="21"/>
                <w:lang w:val="en-US" w:eastAsia="zh-CN" w:bidi="ar-SA"/>
              </w:rPr>
              <w:t>《人才招聘与测评》课程作为人力资源管理专业的核心必修课，是人力资源管理相关理论与实践的核心模块之一，系统介绍了人才招聘与测评的基本概念、理论、方法、流程、技术及其应用等内容。通过课程学习你将了解到如何开展和实施招聘与测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eastAsia="宋体"/>
                <w:lang w:val="en-US" w:eastAsia="zh-CN"/>
              </w:rPr>
            </w:pPr>
            <w:r>
              <w:rPr>
                <w:rFonts w:hint="eastAsia" w:ascii="仿宋_GB2312" w:hAnsi="仿宋_GB2312" w:eastAsia="仿宋_GB2312" w:cs="仿宋_GB2312"/>
                <w:sz w:val="21"/>
                <w:szCs w:val="21"/>
                <w:highlight w:val="none"/>
                <w:vertAlign w:val="baseline"/>
                <w:lang w:val="en-US" w:eastAsia="zh-CN"/>
              </w:rPr>
              <w:t>11</w:t>
            </w:r>
          </w:p>
        </w:tc>
        <w:tc>
          <w:tcPr>
            <w:tcW w:w="93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公共关系学</w:t>
            </w:r>
          </w:p>
        </w:tc>
        <w:tc>
          <w:tcPr>
            <w:tcW w:w="3669"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kern w:val="2"/>
                <w:sz w:val="21"/>
                <w:szCs w:val="21"/>
                <w:lang w:val="en-US" w:eastAsia="zh-CN" w:bidi="ar-SA"/>
              </w:rPr>
              <w:t>公共关系学是人力资源管理本科生的专业课程，是集理论与实务于一体的学科。 要求学生掌握公共关系的理论部分，即公共关系的主体、客体、传播、组织形象、公共关系的运作程序；并能够运用理论进行公共关系的实务分析，熟悉危机公共关系、企业公共关系以及政府公共关系的特点及其操作要则。</w:t>
            </w:r>
          </w:p>
        </w:tc>
      </w:tr>
    </w:tbl>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24"/>
          <w:szCs w:val="24"/>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1.学生在基本学制2.5年的专业人才培养方案所规定的</w:t>
      </w:r>
      <w:r>
        <w:rPr>
          <w:rFonts w:hint="eastAsia" w:ascii="仿宋_GB2312" w:hAnsi="仿宋_GB2312" w:eastAsia="仿宋_GB2312" w:cs="仿宋_GB2312"/>
          <w:sz w:val="24"/>
          <w:szCs w:val="24"/>
          <w:lang w:val="en-US" w:eastAsia="zh-CN"/>
        </w:rPr>
        <w:t>1656</w:t>
      </w:r>
      <w:r>
        <w:rPr>
          <w:rFonts w:hint="eastAsia" w:ascii="仿宋_GB2312" w:hAnsi="仿宋_GB2312" w:eastAsia="仿宋_GB2312" w:cs="仿宋_GB2312"/>
          <w:sz w:val="24"/>
          <w:szCs w:val="24"/>
        </w:rPr>
        <w:t>学时</w:t>
      </w:r>
      <w:r>
        <w:rPr>
          <w:rFonts w:hint="eastAsia" w:ascii="仿宋_GB2312" w:hAnsi="仿宋_GB2312" w:eastAsia="仿宋_GB2312" w:cs="仿宋_GB2312"/>
          <w:sz w:val="24"/>
          <w:szCs w:val="24"/>
          <w:lang w:val="en-US" w:eastAsia="zh-CN"/>
        </w:rPr>
        <w:t>92</w:t>
      </w:r>
      <w:r>
        <w:rPr>
          <w:rFonts w:hint="eastAsia" w:ascii="仿宋_GB2312" w:hAnsi="仿宋_GB2312" w:eastAsia="仿宋_GB2312" w:cs="仿宋_GB2312"/>
          <w:sz w:val="24"/>
          <w:szCs w:val="24"/>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2.取得本科毕业证书、全省学位外语考试合格、毕业论文（设计）良好以上，符合我校《成人高等教育学士学位授予工作实施细则》有关规定者，可授予</w:t>
      </w:r>
      <w:r>
        <w:rPr>
          <w:rFonts w:hint="eastAsia" w:ascii="仿宋_GB2312" w:hAnsi="仿宋_GB2312" w:eastAsia="仿宋_GB2312" w:cs="仿宋_GB2312"/>
          <w:sz w:val="24"/>
          <w:szCs w:val="24"/>
          <w:lang w:eastAsia="zh-CN"/>
        </w:rPr>
        <w:t>管理学</w:t>
      </w:r>
      <w:r>
        <w:rPr>
          <w:rFonts w:hint="eastAsia" w:ascii="仿宋_GB2312" w:hAnsi="仿宋_GB2312" w:eastAsia="仿宋_GB2312" w:cs="仿宋_GB2312"/>
          <w:sz w:val="24"/>
          <w:szCs w:val="24"/>
        </w:rPr>
        <w:t>学士学位证书。</w:t>
      </w:r>
    </w:p>
    <w:p>
      <w:pPr>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val="en-US" w:eastAsia="zh-CN"/>
        </w:rPr>
        <w:t>通识教育课程28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学科基础课程23学分，专业课程27学分，综合实践课程14学分</w:t>
      </w:r>
      <w:r>
        <w:rPr>
          <w:rFonts w:hint="eastAsia" w:ascii="仿宋_GB2312" w:hAnsi="仿宋_GB2312" w:eastAsia="仿宋_GB2312" w:cs="仿宋_GB2312"/>
          <w:sz w:val="24"/>
          <w:szCs w:val="24"/>
          <w:highlight w:val="none"/>
        </w:rPr>
        <w:t>。所有修读课程均须通过考核，考核及格以上者方能取得相应学分。</w:t>
      </w:r>
    </w:p>
    <w:p>
      <w:pPr>
        <w:pStyle w:val="2"/>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表四：人力资源管理</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23</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27</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16</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17.5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22.5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19.0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22.3</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24.5</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22.3</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12.0</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表五：人力资源管理</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0101033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管理学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微观经济学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宏观经济学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0120052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市场营销学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1108552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会计学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0818103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数据库应用基础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0202083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统计学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1108632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公司治理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1108063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人力资源管理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1108183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组织行为学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1108622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战略管理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both"/>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1108652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运营管理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1108392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管理沟通技巧与方法</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1108263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绩效管理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1108542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领导学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1503673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薪酬与福利</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1108822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劳动关系与劳动法</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1503652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招聘与人才测评</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0102042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公共关系学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1656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1416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124</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224</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315</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405</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79.0</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7.5</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13.5</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19.0</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22.3</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24.5</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12.0</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人力资源管理</w:t>
      </w:r>
      <w:r>
        <w:rPr>
          <w:rFonts w:hint="eastAsia" w:ascii="宋体" w:hAnsi="宋体" w:eastAsia="宋体" w:cs="宋体"/>
          <w:sz w:val="21"/>
          <w:szCs w:val="21"/>
        </w:rPr>
        <w:t>专业教学进程安排表”，打“√”的为该门课的考核方式</w:t>
      </w:r>
      <w:r>
        <w:rPr>
          <w:rFonts w:hint="eastAsia" w:ascii="宋体" w:hAnsi="宋体" w:eastAsia="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highlight w:val="none"/>
          <w:u w:val="none"/>
          <w:lang w:bidi="ar"/>
        </w:rPr>
        <w:t>规范教材选用，增强教材育人功能</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auto"/>
          <w:sz w:val="24"/>
          <w:szCs w:val="24"/>
          <w:lang w:val="en-US" w:eastAsia="zh-CN"/>
        </w:rPr>
        <w:t>建立了由专业教师、专家教授和专业负责人等组成的教材选用小组，经过规范程序择优选用教材，禁止不合格的教材进入课堂，</w:t>
      </w:r>
      <w:r>
        <w:rPr>
          <w:rFonts w:hint="eastAsia" w:ascii="仿宋_GB2312" w:hAnsi="仿宋_GB2312" w:eastAsia="仿宋_GB2312" w:cs="仿宋_GB2312"/>
          <w:sz w:val="24"/>
          <w:szCs w:val="24"/>
        </w:rPr>
        <w:t>相关课程教材的选用均根据专业特色与培养目标，优先选用近三年出版的国家规划教材和省部委重点教材或获奖教材。</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i w:val="0"/>
          <w:iCs w:val="0"/>
          <w:caps w:val="0"/>
          <w:color w:val="333333"/>
          <w:spacing w:val="0"/>
          <w:sz w:val="24"/>
          <w:szCs w:val="24"/>
          <w:shd w:val="clear" w:fill="FFFFFF"/>
          <w:lang w:eastAsia="zh-CN"/>
        </w:rPr>
        <w:t>本专业</w:t>
      </w:r>
      <w:r>
        <w:rPr>
          <w:rFonts w:hint="eastAsia" w:ascii="仿宋_GB2312" w:hAnsi="仿宋_GB2312" w:eastAsia="仿宋_GB2312" w:cs="仿宋_GB2312"/>
          <w:i w:val="0"/>
          <w:iCs w:val="0"/>
          <w:caps w:val="0"/>
          <w:color w:val="333333"/>
          <w:spacing w:val="0"/>
          <w:sz w:val="24"/>
          <w:szCs w:val="24"/>
          <w:shd w:val="clear" w:fill="FFFFFF"/>
        </w:rPr>
        <w:t>拥有一支基础扎实、综合素质高、结构合理、锐意进取的师资队伍，现有</w:t>
      </w:r>
      <w:r>
        <w:rPr>
          <w:rFonts w:hint="eastAsia" w:ascii="仿宋_GB2312" w:hAnsi="仿宋_GB2312" w:eastAsia="仿宋_GB2312" w:cs="仿宋_GB2312"/>
          <w:i w:val="0"/>
          <w:iCs w:val="0"/>
          <w:caps w:val="0"/>
          <w:color w:val="333333"/>
          <w:spacing w:val="0"/>
          <w:sz w:val="24"/>
          <w:szCs w:val="24"/>
          <w:shd w:val="clear" w:fill="FFFFFF"/>
          <w:lang w:eastAsia="zh-CN"/>
        </w:rPr>
        <w:t>全职</w:t>
      </w:r>
      <w:r>
        <w:rPr>
          <w:rFonts w:hint="eastAsia" w:ascii="仿宋_GB2312" w:hAnsi="仿宋_GB2312" w:eastAsia="仿宋_GB2312" w:cs="仿宋_GB2312"/>
          <w:i w:val="0"/>
          <w:iCs w:val="0"/>
          <w:caps w:val="0"/>
          <w:color w:val="333333"/>
          <w:spacing w:val="0"/>
          <w:sz w:val="24"/>
          <w:szCs w:val="24"/>
          <w:shd w:val="clear" w:fill="FFFFFF"/>
        </w:rPr>
        <w:t>教师2</w:t>
      </w:r>
      <w:r>
        <w:rPr>
          <w:rFonts w:hint="eastAsia" w:ascii="仿宋_GB2312" w:hAnsi="仿宋_GB2312" w:eastAsia="仿宋_GB2312" w:cs="仿宋_GB2312"/>
          <w:i w:val="0"/>
          <w:iCs w:val="0"/>
          <w:caps w:val="0"/>
          <w:color w:val="333333"/>
          <w:spacing w:val="0"/>
          <w:sz w:val="24"/>
          <w:szCs w:val="24"/>
          <w:shd w:val="clear" w:fill="FFFFFF"/>
          <w:lang w:val="en-US" w:eastAsia="zh-CN"/>
        </w:rPr>
        <w:t>2</w:t>
      </w:r>
      <w:r>
        <w:rPr>
          <w:rFonts w:hint="eastAsia" w:ascii="仿宋_GB2312" w:hAnsi="仿宋_GB2312" w:eastAsia="仿宋_GB2312" w:cs="仿宋_GB2312"/>
          <w:i w:val="0"/>
          <w:iCs w:val="0"/>
          <w:caps w:val="0"/>
          <w:color w:val="333333"/>
          <w:spacing w:val="0"/>
          <w:sz w:val="24"/>
          <w:szCs w:val="24"/>
          <w:shd w:val="clear" w:fill="FFFFFF"/>
        </w:rPr>
        <w:t>人，其中教授2人，副教授2人，讲师13人，博士4人，在读博士4人，“双师型”教师</w:t>
      </w:r>
      <w:r>
        <w:rPr>
          <w:rFonts w:hint="eastAsia" w:ascii="仿宋_GB2312" w:hAnsi="仿宋_GB2312" w:eastAsia="仿宋_GB2312" w:cs="仿宋_GB2312"/>
          <w:i w:val="0"/>
          <w:iCs w:val="0"/>
          <w:caps w:val="0"/>
          <w:color w:val="333333"/>
          <w:spacing w:val="0"/>
          <w:sz w:val="24"/>
          <w:szCs w:val="24"/>
          <w:shd w:val="clear" w:fill="FFFFFF"/>
          <w:lang w:val="en-US" w:eastAsia="zh-CN"/>
        </w:rPr>
        <w:t>10</w:t>
      </w:r>
      <w:r>
        <w:rPr>
          <w:rFonts w:hint="eastAsia" w:ascii="仿宋_GB2312" w:hAnsi="仿宋_GB2312" w:eastAsia="仿宋_GB2312" w:cs="仿宋_GB2312"/>
          <w:i w:val="0"/>
          <w:iCs w:val="0"/>
          <w:caps w:val="0"/>
          <w:color w:val="333333"/>
          <w:spacing w:val="0"/>
          <w:sz w:val="24"/>
          <w:szCs w:val="24"/>
          <w:shd w:val="clear" w:fill="FFFFFF"/>
        </w:rPr>
        <w:t>人，中山大学访问学者1人，华南师范大学访问学者1人</w:t>
      </w:r>
      <w:r>
        <w:rPr>
          <w:rFonts w:hint="eastAsia" w:ascii="仿宋_GB2312" w:hAnsi="仿宋_GB2312" w:eastAsia="仿宋_GB2312" w:cs="仿宋_GB2312"/>
          <w:i w:val="0"/>
          <w:iCs w:val="0"/>
          <w:caps w:val="0"/>
          <w:color w:val="333333"/>
          <w:spacing w:val="0"/>
          <w:sz w:val="24"/>
          <w:szCs w:val="24"/>
          <w:shd w:val="clear" w:fill="FFFFFF"/>
          <w:lang w:eastAsia="zh-CN"/>
        </w:rPr>
        <w:t>，创新创业导师</w:t>
      </w:r>
      <w:r>
        <w:rPr>
          <w:rFonts w:hint="eastAsia" w:ascii="仿宋_GB2312" w:hAnsi="仿宋_GB2312" w:eastAsia="仿宋_GB2312" w:cs="仿宋_GB2312"/>
          <w:i w:val="0"/>
          <w:iCs w:val="0"/>
          <w:caps w:val="0"/>
          <w:color w:val="333333"/>
          <w:spacing w:val="0"/>
          <w:sz w:val="24"/>
          <w:szCs w:val="24"/>
          <w:shd w:val="clear" w:fill="FFFFFF"/>
          <w:lang w:val="en-US" w:eastAsia="zh-CN"/>
        </w:rPr>
        <w:t>2人，6人具有5年以上企业人力资源管理经历。</w:t>
      </w:r>
      <w:r>
        <w:rPr>
          <w:rFonts w:hint="eastAsia" w:ascii="仿宋_GB2312" w:hAnsi="仿宋_GB2312" w:eastAsia="仿宋_GB2312" w:cs="仿宋_GB2312"/>
          <w:i w:val="0"/>
          <w:iCs w:val="0"/>
          <w:caps w:val="0"/>
          <w:color w:val="333333"/>
          <w:spacing w:val="0"/>
          <w:sz w:val="24"/>
          <w:szCs w:val="24"/>
          <w:shd w:val="clear" w:fill="FFFFFF"/>
        </w:rPr>
        <w:t>教师们</w:t>
      </w:r>
      <w:r>
        <w:rPr>
          <w:rFonts w:hint="eastAsia" w:ascii="仿宋_GB2312" w:hAnsi="仿宋_GB2312" w:eastAsia="仿宋_GB2312" w:cs="仿宋_GB2312"/>
          <w:i w:val="0"/>
          <w:iCs w:val="0"/>
          <w:caps w:val="0"/>
          <w:color w:val="333333"/>
          <w:spacing w:val="0"/>
          <w:sz w:val="24"/>
          <w:szCs w:val="24"/>
          <w:shd w:val="clear" w:fill="FFFFFF"/>
          <w:lang w:eastAsia="zh-CN"/>
        </w:rPr>
        <w:t>均为研究生学历，</w:t>
      </w:r>
      <w:r>
        <w:rPr>
          <w:rFonts w:hint="eastAsia" w:ascii="仿宋_GB2312" w:hAnsi="仿宋_GB2312" w:eastAsia="仿宋_GB2312" w:cs="仿宋_GB2312"/>
          <w:i w:val="0"/>
          <w:iCs w:val="0"/>
          <w:caps w:val="0"/>
          <w:color w:val="333333"/>
          <w:spacing w:val="0"/>
          <w:sz w:val="24"/>
          <w:szCs w:val="24"/>
          <w:shd w:val="clear" w:fill="FFFFFF"/>
        </w:rPr>
        <w:t>毕业于中山大学、南京大学、湖南师范大学、华南师范大学、西南交通大学、四川大学、湘潭大学、贵州大学等全国知名高等学府，学术理论功底扎实。其中，特聘教授刘耀中先生，</w:t>
      </w:r>
      <w:r>
        <w:rPr>
          <w:rFonts w:hint="eastAsia" w:ascii="仿宋_GB2312" w:hAnsi="仿宋_GB2312" w:eastAsia="仿宋_GB2312" w:cs="仿宋_GB2312"/>
          <w:i w:val="0"/>
          <w:iCs w:val="0"/>
          <w:caps w:val="0"/>
          <w:color w:val="333333"/>
          <w:spacing w:val="0"/>
          <w:sz w:val="24"/>
          <w:szCs w:val="24"/>
          <w:shd w:val="clear" w:fill="FFFFFF"/>
          <w:lang w:eastAsia="zh-CN"/>
        </w:rPr>
        <w:t>原</w:t>
      </w:r>
      <w:r>
        <w:rPr>
          <w:rFonts w:hint="eastAsia" w:ascii="仿宋_GB2312" w:hAnsi="仿宋_GB2312" w:eastAsia="仿宋_GB2312" w:cs="仿宋_GB2312"/>
          <w:i w:val="0"/>
          <w:iCs w:val="0"/>
          <w:caps w:val="0"/>
          <w:color w:val="333333"/>
          <w:spacing w:val="0"/>
          <w:sz w:val="24"/>
          <w:szCs w:val="24"/>
          <w:shd w:val="clear" w:fill="FFFFFF"/>
        </w:rPr>
        <w:t>暨南大学博导，知名学者，在神经管理学、风险决策与社会决策、胜任力模型构建等领域建树颇丰。专业负责人叶茂林教授，专注组织行为与人力资源管理方向研究，成绩斐然。目前已</w:t>
      </w:r>
      <w:r>
        <w:rPr>
          <w:rFonts w:hint="eastAsia" w:ascii="仿宋_GB2312" w:hAnsi="仿宋_GB2312" w:eastAsia="仿宋_GB2312" w:cs="仿宋_GB2312"/>
          <w:i w:val="0"/>
          <w:iCs w:val="0"/>
          <w:caps w:val="0"/>
          <w:color w:val="333333"/>
          <w:spacing w:val="0"/>
          <w:sz w:val="24"/>
          <w:szCs w:val="24"/>
          <w:shd w:val="clear" w:fill="FFFFFF"/>
          <w:lang w:eastAsia="zh-CN"/>
        </w:rPr>
        <w:t>组建了</w:t>
      </w:r>
      <w:r>
        <w:rPr>
          <w:rFonts w:hint="eastAsia" w:ascii="仿宋_GB2312" w:hAnsi="仿宋_GB2312" w:eastAsia="仿宋_GB2312" w:cs="仿宋_GB2312"/>
          <w:i w:val="0"/>
          <w:iCs w:val="0"/>
          <w:caps w:val="0"/>
          <w:color w:val="333333"/>
          <w:spacing w:val="0"/>
          <w:sz w:val="24"/>
          <w:szCs w:val="24"/>
          <w:shd w:val="clear" w:fill="FFFFFF"/>
        </w:rPr>
        <w:t>招聘配置、培训开发、薪酬管理、绩效管理、员工激励、领导力开发等</w:t>
      </w:r>
      <w:r>
        <w:rPr>
          <w:rFonts w:hint="eastAsia" w:ascii="仿宋_GB2312" w:hAnsi="仿宋_GB2312" w:eastAsia="仿宋_GB2312" w:cs="仿宋_GB2312"/>
          <w:i w:val="0"/>
          <w:iCs w:val="0"/>
          <w:caps w:val="0"/>
          <w:color w:val="333333"/>
          <w:spacing w:val="0"/>
          <w:sz w:val="24"/>
          <w:szCs w:val="24"/>
          <w:shd w:val="clear" w:fill="FFFFFF"/>
          <w:lang w:eastAsia="zh-CN"/>
        </w:rPr>
        <w:t>方向的</w:t>
      </w:r>
      <w:r>
        <w:rPr>
          <w:rFonts w:hint="eastAsia" w:ascii="仿宋_GB2312" w:hAnsi="仿宋_GB2312" w:eastAsia="仿宋_GB2312" w:cs="仿宋_GB2312"/>
          <w:i w:val="0"/>
          <w:iCs w:val="0"/>
          <w:caps w:val="0"/>
          <w:color w:val="333333"/>
          <w:spacing w:val="0"/>
          <w:sz w:val="24"/>
          <w:szCs w:val="24"/>
          <w:shd w:val="clear" w:fill="FFFFFF"/>
          <w:lang w:val="en-US" w:eastAsia="zh-CN"/>
        </w:rPr>
        <w:t>6</w:t>
      </w:r>
      <w:r>
        <w:rPr>
          <w:rFonts w:hint="eastAsia" w:ascii="仿宋_GB2312" w:hAnsi="仿宋_GB2312" w:eastAsia="仿宋_GB2312" w:cs="仿宋_GB2312"/>
          <w:i w:val="0"/>
          <w:iCs w:val="0"/>
          <w:caps w:val="0"/>
          <w:color w:val="333333"/>
          <w:spacing w:val="0"/>
          <w:sz w:val="24"/>
          <w:szCs w:val="24"/>
          <w:shd w:val="clear" w:fill="FFFFFF"/>
        </w:rPr>
        <w:t>个科研团队</w:t>
      </w:r>
      <w:r>
        <w:rPr>
          <w:rFonts w:hint="eastAsia" w:ascii="仿宋_GB2312" w:hAnsi="仿宋_GB2312" w:eastAsia="仿宋_GB2312" w:cs="仿宋_GB2312"/>
          <w:i w:val="0"/>
          <w:iCs w:val="0"/>
          <w:caps w:val="0"/>
          <w:color w:val="333333"/>
          <w:spacing w:val="0"/>
          <w:sz w:val="24"/>
          <w:szCs w:val="24"/>
          <w:shd w:val="clear" w:fill="FFFFFF"/>
          <w:lang w:eastAsia="zh-CN"/>
        </w:rPr>
        <w:t>，</w:t>
      </w:r>
      <w:r>
        <w:rPr>
          <w:rFonts w:hint="eastAsia" w:ascii="仿宋_GB2312" w:hAnsi="仿宋_GB2312" w:eastAsia="仿宋_GB2312" w:cs="仿宋_GB2312"/>
          <w:i w:val="0"/>
          <w:iCs w:val="0"/>
          <w:caps w:val="0"/>
          <w:color w:val="333333"/>
          <w:spacing w:val="0"/>
          <w:sz w:val="24"/>
          <w:szCs w:val="24"/>
          <w:shd w:val="clear" w:fill="FFFFFF"/>
        </w:rPr>
        <w:t>老师们先后在《中国人力资源开发</w:t>
      </w:r>
      <w:r>
        <w:rPr>
          <w:rFonts w:hint="eastAsia" w:ascii="仿宋_GB2312" w:hAnsi="仿宋_GB2312" w:eastAsia="仿宋_GB2312" w:cs="仿宋_GB2312"/>
          <w:i w:val="0"/>
          <w:iCs w:val="0"/>
          <w:caps w:val="0"/>
          <w:color w:val="333333"/>
          <w:spacing w:val="0"/>
          <w:sz w:val="24"/>
          <w:szCs w:val="24"/>
          <w:shd w:val="clear" w:fill="FFFFFF"/>
          <w:lang w:eastAsia="zh-CN"/>
        </w:rPr>
        <w:t>》《</w:t>
      </w:r>
      <w:r>
        <w:rPr>
          <w:rFonts w:hint="eastAsia" w:ascii="仿宋_GB2312" w:hAnsi="仿宋_GB2312" w:eastAsia="仿宋_GB2312" w:cs="仿宋_GB2312"/>
          <w:i w:val="0"/>
          <w:iCs w:val="0"/>
          <w:caps w:val="0"/>
          <w:color w:val="333333"/>
          <w:spacing w:val="0"/>
          <w:sz w:val="24"/>
          <w:szCs w:val="24"/>
          <w:shd w:val="clear" w:fill="FFFFFF"/>
        </w:rPr>
        <w:t>商业经济研究</w:t>
      </w:r>
      <w:r>
        <w:rPr>
          <w:rFonts w:hint="eastAsia" w:ascii="仿宋_GB2312" w:hAnsi="仿宋_GB2312" w:eastAsia="仿宋_GB2312" w:cs="仿宋_GB2312"/>
          <w:i w:val="0"/>
          <w:iCs w:val="0"/>
          <w:caps w:val="0"/>
          <w:color w:val="333333"/>
          <w:spacing w:val="0"/>
          <w:sz w:val="24"/>
          <w:szCs w:val="24"/>
          <w:shd w:val="clear" w:fill="FFFFFF"/>
          <w:lang w:eastAsia="zh-CN"/>
        </w:rPr>
        <w:t>》《</w:t>
      </w:r>
      <w:r>
        <w:rPr>
          <w:rFonts w:hint="eastAsia" w:ascii="仿宋_GB2312" w:hAnsi="仿宋_GB2312" w:eastAsia="仿宋_GB2312" w:cs="仿宋_GB2312"/>
          <w:i w:val="0"/>
          <w:iCs w:val="0"/>
          <w:caps w:val="0"/>
          <w:color w:val="333333"/>
          <w:spacing w:val="0"/>
          <w:sz w:val="24"/>
          <w:szCs w:val="24"/>
          <w:shd w:val="clear" w:fill="FFFFFF"/>
        </w:rPr>
        <w:t>人才资源开发</w:t>
      </w:r>
      <w:r>
        <w:rPr>
          <w:rFonts w:hint="eastAsia" w:ascii="仿宋_GB2312" w:hAnsi="仿宋_GB2312" w:eastAsia="仿宋_GB2312" w:cs="仿宋_GB2312"/>
          <w:i w:val="0"/>
          <w:iCs w:val="0"/>
          <w:caps w:val="0"/>
          <w:color w:val="333333"/>
          <w:spacing w:val="0"/>
          <w:sz w:val="24"/>
          <w:szCs w:val="24"/>
          <w:shd w:val="clear" w:fill="FFFFFF"/>
          <w:lang w:eastAsia="zh-CN"/>
        </w:rPr>
        <w:t>》《</w:t>
      </w:r>
      <w:r>
        <w:rPr>
          <w:rFonts w:hint="eastAsia" w:ascii="仿宋_GB2312" w:hAnsi="仿宋_GB2312" w:eastAsia="仿宋_GB2312" w:cs="仿宋_GB2312"/>
          <w:i w:val="0"/>
          <w:iCs w:val="0"/>
          <w:caps w:val="0"/>
          <w:color w:val="333333"/>
          <w:spacing w:val="0"/>
          <w:sz w:val="24"/>
          <w:szCs w:val="24"/>
          <w:shd w:val="clear" w:fill="FFFFFF"/>
        </w:rPr>
        <w:t>人力资源管理</w:t>
      </w:r>
      <w:r>
        <w:rPr>
          <w:rFonts w:hint="eastAsia" w:ascii="仿宋_GB2312" w:hAnsi="仿宋_GB2312" w:eastAsia="仿宋_GB2312" w:cs="仿宋_GB2312"/>
          <w:i w:val="0"/>
          <w:iCs w:val="0"/>
          <w:caps w:val="0"/>
          <w:color w:val="333333"/>
          <w:spacing w:val="0"/>
          <w:sz w:val="24"/>
          <w:szCs w:val="24"/>
          <w:shd w:val="clear" w:fill="FFFFFF"/>
          <w:lang w:eastAsia="zh-CN"/>
        </w:rPr>
        <w:t>》《</w:t>
      </w:r>
      <w:r>
        <w:rPr>
          <w:rFonts w:hint="eastAsia" w:ascii="仿宋_GB2312" w:hAnsi="仿宋_GB2312" w:eastAsia="仿宋_GB2312" w:cs="仿宋_GB2312"/>
          <w:i w:val="0"/>
          <w:iCs w:val="0"/>
          <w:caps w:val="0"/>
          <w:color w:val="333333"/>
          <w:spacing w:val="0"/>
          <w:sz w:val="24"/>
          <w:szCs w:val="24"/>
          <w:shd w:val="clear" w:fill="FFFFFF"/>
        </w:rPr>
        <w:t>贵州民族研究</w:t>
      </w:r>
      <w:r>
        <w:rPr>
          <w:rFonts w:hint="eastAsia" w:ascii="仿宋_GB2312" w:hAnsi="仿宋_GB2312" w:eastAsia="仿宋_GB2312" w:cs="仿宋_GB2312"/>
          <w:i w:val="0"/>
          <w:iCs w:val="0"/>
          <w:caps w:val="0"/>
          <w:color w:val="333333"/>
          <w:spacing w:val="0"/>
          <w:sz w:val="24"/>
          <w:szCs w:val="24"/>
          <w:shd w:val="clear" w:fill="FFFFFF"/>
          <w:lang w:eastAsia="zh-CN"/>
        </w:rPr>
        <w:t>》《</w:t>
      </w:r>
      <w:r>
        <w:rPr>
          <w:rFonts w:hint="eastAsia" w:ascii="仿宋_GB2312" w:hAnsi="仿宋_GB2312" w:eastAsia="仿宋_GB2312" w:cs="仿宋_GB2312"/>
          <w:i w:val="0"/>
          <w:iCs w:val="0"/>
          <w:caps w:val="0"/>
          <w:color w:val="333333"/>
          <w:spacing w:val="0"/>
          <w:sz w:val="24"/>
          <w:szCs w:val="24"/>
          <w:shd w:val="clear" w:fill="FFFFFF"/>
        </w:rPr>
        <w:t>扬州大学学报</w:t>
      </w:r>
      <w:r>
        <w:rPr>
          <w:rFonts w:hint="eastAsia" w:ascii="仿宋_GB2312" w:hAnsi="仿宋_GB2312" w:eastAsia="仿宋_GB2312" w:cs="仿宋_GB2312"/>
          <w:i w:val="0"/>
          <w:iCs w:val="0"/>
          <w:caps w:val="0"/>
          <w:color w:val="333333"/>
          <w:spacing w:val="0"/>
          <w:sz w:val="24"/>
          <w:szCs w:val="24"/>
          <w:shd w:val="clear" w:fill="FFFFFF"/>
          <w:lang w:eastAsia="zh-CN"/>
        </w:rPr>
        <w:t>》《</w:t>
      </w:r>
      <w:r>
        <w:rPr>
          <w:rFonts w:hint="eastAsia" w:ascii="仿宋_GB2312" w:hAnsi="仿宋_GB2312" w:eastAsia="仿宋_GB2312" w:cs="仿宋_GB2312"/>
          <w:i w:val="0"/>
          <w:iCs w:val="0"/>
          <w:caps w:val="0"/>
          <w:color w:val="333333"/>
          <w:spacing w:val="0"/>
          <w:sz w:val="24"/>
          <w:szCs w:val="24"/>
          <w:shd w:val="clear" w:fill="FFFFFF"/>
        </w:rPr>
        <w:t>统计与管理</w:t>
      </w:r>
      <w:r>
        <w:rPr>
          <w:rFonts w:hint="eastAsia" w:ascii="仿宋_GB2312" w:hAnsi="仿宋_GB2312" w:eastAsia="仿宋_GB2312" w:cs="仿宋_GB2312"/>
          <w:i w:val="0"/>
          <w:iCs w:val="0"/>
          <w:caps w:val="0"/>
          <w:color w:val="333333"/>
          <w:spacing w:val="0"/>
          <w:sz w:val="24"/>
          <w:szCs w:val="24"/>
          <w:shd w:val="clear" w:fill="FFFFFF"/>
          <w:lang w:eastAsia="zh-CN"/>
        </w:rPr>
        <w:t>》《</w:t>
      </w:r>
      <w:r>
        <w:rPr>
          <w:rFonts w:hint="eastAsia" w:ascii="仿宋_GB2312" w:hAnsi="仿宋_GB2312" w:eastAsia="仿宋_GB2312" w:cs="仿宋_GB2312"/>
          <w:i w:val="0"/>
          <w:iCs w:val="0"/>
          <w:caps w:val="0"/>
          <w:color w:val="333333"/>
          <w:spacing w:val="0"/>
          <w:sz w:val="24"/>
          <w:szCs w:val="24"/>
          <w:shd w:val="clear" w:fill="FFFFFF"/>
        </w:rPr>
        <w:t>西部经济管理论坛》等数十种刊物上发表论文100余篇，近5年主持省厅级课题4项，教育部产学研协同育人项目2项，校级课题</w:t>
      </w:r>
      <w:r>
        <w:rPr>
          <w:rFonts w:hint="eastAsia" w:ascii="仿宋_GB2312" w:hAnsi="仿宋_GB2312" w:eastAsia="仿宋_GB2312" w:cs="仿宋_GB2312"/>
          <w:i w:val="0"/>
          <w:iCs w:val="0"/>
          <w:caps w:val="0"/>
          <w:color w:val="333333"/>
          <w:spacing w:val="0"/>
          <w:sz w:val="24"/>
          <w:szCs w:val="24"/>
          <w:shd w:val="clear" w:fill="FFFFFF"/>
          <w:lang w:val="en-US" w:eastAsia="zh-CN"/>
        </w:rPr>
        <w:t>10</w:t>
      </w:r>
      <w:r>
        <w:rPr>
          <w:rFonts w:hint="eastAsia" w:ascii="仿宋_GB2312" w:hAnsi="仿宋_GB2312" w:eastAsia="仿宋_GB2312" w:cs="仿宋_GB2312"/>
          <w:i w:val="0"/>
          <w:iCs w:val="0"/>
          <w:caps w:val="0"/>
          <w:color w:val="333333"/>
          <w:spacing w:val="0"/>
          <w:sz w:val="24"/>
          <w:szCs w:val="24"/>
          <w:shd w:val="clear" w:fill="FFFFFF"/>
        </w:rPr>
        <w:t>项。</w:t>
      </w:r>
      <w:r>
        <w:rPr>
          <w:rFonts w:hint="eastAsia" w:ascii="仿宋_GB2312" w:hAnsi="仿宋_GB2312" w:eastAsia="仿宋_GB2312" w:cs="仿宋_GB2312"/>
          <w:i w:val="0"/>
          <w:iCs w:val="0"/>
          <w:caps w:val="0"/>
          <w:color w:val="333333"/>
          <w:spacing w:val="0"/>
          <w:sz w:val="24"/>
          <w:szCs w:val="24"/>
          <w:shd w:val="clear" w:fill="FFFFFF"/>
          <w:lang w:eastAsia="zh-CN"/>
        </w:rPr>
        <w:t>另外本专业还</w:t>
      </w:r>
      <w:r>
        <w:rPr>
          <w:rFonts w:hint="eastAsia" w:ascii="仿宋_GB2312" w:hAnsi="仿宋_GB2312" w:eastAsia="仿宋_GB2312" w:cs="仿宋_GB2312"/>
          <w:sz w:val="24"/>
          <w:szCs w:val="24"/>
        </w:rPr>
        <w:t>备了一支</w:t>
      </w:r>
      <w:r>
        <w:rPr>
          <w:rFonts w:hint="eastAsia" w:ascii="仿宋_GB2312" w:hAnsi="仿宋_GB2312" w:eastAsia="仿宋_GB2312" w:cs="仿宋_GB2312"/>
          <w:sz w:val="24"/>
          <w:szCs w:val="24"/>
          <w:lang w:val="en-US" w:eastAsia="zh-CN"/>
        </w:rPr>
        <w:t>5人的</w:t>
      </w:r>
      <w:r>
        <w:rPr>
          <w:rFonts w:hint="eastAsia" w:ascii="仿宋_GB2312" w:hAnsi="仿宋_GB2312" w:eastAsia="仿宋_GB2312" w:cs="仿宋_GB2312"/>
          <w:sz w:val="24"/>
          <w:szCs w:val="24"/>
        </w:rPr>
        <w:t>企业兼职教师队伍，深入课堂教学时间达到总课时的30%，将企业的人力资源管理经验带给学生，使学生更好的将理论知识与企业岗位技能对接。</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黑体"/>
          <w:color w:val="000000"/>
          <w:kern w:val="0"/>
          <w:sz w:val="24"/>
          <w:szCs w:val="24"/>
          <w:highlight w:val="none"/>
          <w:u w:val="none"/>
          <w:lang w:bidi="ar"/>
        </w:rPr>
      </w:pPr>
      <w:r>
        <w:rPr>
          <w:rFonts w:hint="eastAsia" w:ascii="黑体" w:hAnsi="黑体" w:eastAsia="黑体" w:cs="黑体"/>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1.校内实训基地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rPr>
        <w:t>依托</w:t>
      </w:r>
      <w:r>
        <w:rPr>
          <w:rFonts w:hint="eastAsia" w:ascii="仿宋_GB2312" w:hAnsi="仿宋_GB2312" w:eastAsia="仿宋_GB2312" w:cs="仿宋_GB2312"/>
          <w:sz w:val="24"/>
          <w:szCs w:val="24"/>
          <w:lang w:eastAsia="zh-CN"/>
        </w:rPr>
        <w:t>华商学院数字化实验实训中心</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充分利用</w:t>
      </w:r>
      <w:r>
        <w:rPr>
          <w:rFonts w:hint="eastAsia" w:ascii="仿宋_GB2312" w:hAnsi="仿宋_GB2312" w:eastAsia="仿宋_GB2312" w:cs="仿宋_GB2312"/>
          <w:sz w:val="24"/>
          <w:szCs w:val="24"/>
        </w:rPr>
        <w:t>本专业人力资源数字化实验室</w:t>
      </w:r>
      <w:r>
        <w:rPr>
          <w:rFonts w:hint="eastAsia" w:ascii="仿宋_GB2312" w:hAnsi="仿宋_GB2312" w:eastAsia="仿宋_GB2312" w:cs="仿宋_GB2312"/>
          <w:sz w:val="24"/>
          <w:szCs w:val="24"/>
          <w:lang w:val="en-US" w:eastAsia="zh-CN"/>
        </w:rPr>
        <w:t>-ERP电子沙盘模拟系统、</w:t>
      </w:r>
      <w:r>
        <w:rPr>
          <w:rFonts w:hint="eastAsia" w:ascii="仿宋_GB2312" w:hAnsi="仿宋_GB2312" w:eastAsia="仿宋_GB2312" w:cs="仿宋_GB2312"/>
          <w:sz w:val="24"/>
          <w:szCs w:val="24"/>
        </w:rPr>
        <w:t>ERP沙盘模拟实验室</w:t>
      </w:r>
      <w:r>
        <w:rPr>
          <w:rFonts w:hint="eastAsia" w:ascii="仿宋_GB2312" w:hAnsi="仿宋_GB2312" w:eastAsia="仿宋_GB2312" w:cs="仿宋_GB2312"/>
          <w:sz w:val="24"/>
          <w:szCs w:val="24"/>
          <w:lang w:eastAsia="zh-CN"/>
        </w:rPr>
        <w:t>、综合实训平台</w:t>
      </w:r>
      <w:r>
        <w:rPr>
          <w:rFonts w:hint="eastAsia" w:ascii="仿宋_GB2312" w:hAnsi="仿宋_GB2312" w:eastAsia="仿宋_GB2312" w:cs="仿宋_GB2312"/>
          <w:sz w:val="24"/>
          <w:szCs w:val="24"/>
        </w:rPr>
        <w:t>让学生在仿真环境中对企业的运作进行仿真演练，可将学生掌握的理论知识与企业的实际业务相结合，领悟人力资源管理的魅力，全方位体验和实践企业的管理理念和核心管理思想，检验学生掌握知识的宽度、深度和对知识的综合运用能力。学生置身于丰富的教学案例中，模拟企业的管理者和人力资源管理部门，使他们像管理一家真正的公司那样做出预见和正确的反应，完成彼此</w:t>
      </w:r>
      <w:r>
        <w:rPr>
          <w:rFonts w:hint="eastAsia" w:ascii="仿宋_GB2312" w:hAnsi="仿宋_GB2312" w:eastAsia="仿宋_GB2312" w:cs="仿宋_GB2312"/>
          <w:sz w:val="24"/>
          <w:szCs w:val="24"/>
          <w:lang w:eastAsia="zh-CN"/>
        </w:rPr>
        <w:t>关系</w:t>
      </w:r>
      <w:r>
        <w:rPr>
          <w:rFonts w:hint="eastAsia" w:ascii="仿宋_GB2312" w:hAnsi="仿宋_GB2312" w:eastAsia="仿宋_GB2312" w:cs="仿宋_GB2312"/>
          <w:sz w:val="24"/>
          <w:szCs w:val="24"/>
        </w:rPr>
        <w:t>的一系列经营决策，并为此承担责任。在此过程中，学生们将感受到企业经营的复杂性和多变性，决策的科学性与灵活性，经营管理的整体性、协同性和有效性；认识、体验企业经营管理活动过程和主要业务流程及其相互之间的关联关系；促进知识的整合与融会贯通；真切地感受到成功与失败，体验到竞争意识、团队精神、职业素养的意义。</w:t>
      </w:r>
    </w:p>
    <w:p>
      <w:pPr>
        <w:pStyle w:val="2"/>
        <w:pageBreakBefore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2.校外实习基地</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lang w:eastAsia="zh-CN"/>
        </w:rPr>
        <w:t>已有</w:t>
      </w:r>
      <w:r>
        <w:rPr>
          <w:rFonts w:hint="eastAsia" w:ascii="仿宋_GB2312" w:hAnsi="仿宋_GB2312" w:eastAsia="仿宋_GB2312" w:cs="仿宋_GB2312"/>
          <w:sz w:val="24"/>
          <w:szCs w:val="24"/>
        </w:rPr>
        <w:t>太阳城集团、深圳东鹏饮料有限公司、</w:t>
      </w:r>
      <w:r>
        <w:rPr>
          <w:rFonts w:hint="eastAsia" w:ascii="仿宋_GB2312" w:hAnsi="仿宋_GB2312" w:eastAsia="仿宋_GB2312" w:cs="仿宋_GB2312"/>
          <w:sz w:val="24"/>
          <w:szCs w:val="24"/>
          <w:lang w:eastAsia="zh-CN"/>
        </w:rPr>
        <w:t>红海人力集团</w:t>
      </w:r>
      <w:r>
        <w:rPr>
          <w:rFonts w:hint="eastAsia" w:ascii="仿宋_GB2312" w:hAnsi="仿宋_GB2312" w:eastAsia="仿宋_GB2312" w:cs="仿宋_GB2312"/>
          <w:sz w:val="24"/>
          <w:szCs w:val="24"/>
        </w:rPr>
        <w:t>，广州博皇家居建材中心，深圳西遇服饰有限公司</w:t>
      </w:r>
      <w:r>
        <w:rPr>
          <w:rFonts w:hint="eastAsia" w:ascii="仿宋_GB2312" w:hAnsi="仿宋_GB2312" w:eastAsia="仿宋_GB2312" w:cs="仿宋_GB2312"/>
          <w:sz w:val="24"/>
          <w:szCs w:val="24"/>
          <w:lang w:eastAsia="zh-CN"/>
        </w:rPr>
        <w:t>等</w:t>
      </w:r>
      <w:r>
        <w:rPr>
          <w:rFonts w:hint="eastAsia" w:ascii="仿宋_GB2312" w:hAnsi="仿宋_GB2312" w:eastAsia="仿宋_GB2312" w:cs="仿宋_GB2312"/>
          <w:sz w:val="24"/>
          <w:szCs w:val="24"/>
          <w:lang w:val="en-US" w:eastAsia="zh-CN"/>
        </w:rPr>
        <w:t>20多家企业</w:t>
      </w:r>
      <w:r>
        <w:rPr>
          <w:rFonts w:hint="eastAsia" w:ascii="仿宋_GB2312" w:hAnsi="仿宋_GB2312" w:eastAsia="仿宋_GB2312" w:cs="仿宋_GB2312"/>
          <w:sz w:val="24"/>
          <w:szCs w:val="24"/>
        </w:rPr>
        <w:t>我院签约校企合作企业，为本专业人才的培养提供校外实习实训基地。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sz w:val="24"/>
          <w:szCs w:val="24"/>
        </w:rPr>
        <w:t>人力资源管理专业现有的实践教学基地基本能满足学生实习需要；通过实习基地让学生实际操作，提升学生的实践能力，进而完成人力资源管理实践教学培养模式的全过程。</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kinsoku/>
        <w:wordWrap/>
        <w:overflowPunct/>
        <w:topLinePunct w:val="0"/>
        <w:autoSpaceDE/>
        <w:autoSpaceDN/>
        <w:bidi w:val="0"/>
        <w:adjustRightInd/>
        <w:snapToGrid/>
        <w:spacing w:line="500" w:lineRule="exact"/>
        <w:ind w:firstLine="56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（1）以</w:t>
      </w:r>
      <w:r>
        <w:rPr>
          <w:rFonts w:hint="eastAsia" w:ascii="仿宋_GB2312" w:hAnsi="仿宋_GB2312" w:eastAsia="仿宋_GB2312" w:cs="仿宋_GB2312"/>
          <w:sz w:val="24"/>
          <w:szCs w:val="24"/>
          <w:lang w:eastAsia="zh-CN"/>
        </w:rPr>
        <w:t>超星</w:t>
      </w:r>
      <w:r>
        <w:rPr>
          <w:rFonts w:hint="eastAsia" w:ascii="仿宋_GB2312" w:hAnsi="仿宋_GB2312" w:eastAsia="仿宋_GB2312" w:cs="仿宋_GB2312"/>
          <w:sz w:val="24"/>
          <w:szCs w:val="24"/>
        </w:rPr>
        <w:t>平台人力资源管理专业相关课程资源为数字教学资源，目前已有《管理学</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人力资源管理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市场营销</w:t>
      </w:r>
      <w:r>
        <w:rPr>
          <w:rFonts w:hint="eastAsia" w:ascii="仿宋_GB2312" w:hAnsi="仿宋_GB2312" w:eastAsia="仿宋_GB2312" w:cs="仿宋_GB2312"/>
          <w:sz w:val="24"/>
          <w:szCs w:val="24"/>
          <w:lang w:eastAsia="zh-CN"/>
        </w:rPr>
        <w:t>学</w:t>
      </w:r>
      <w:r>
        <w:rPr>
          <w:rFonts w:hint="eastAsia" w:ascii="仿宋_GB2312" w:hAnsi="仿宋_GB2312" w:eastAsia="仿宋_GB2312" w:cs="仿宋_GB2312"/>
          <w:sz w:val="24"/>
          <w:szCs w:val="24"/>
        </w:rPr>
        <w:t>》等课程作为校级精品在线开放课程供学生们学习。</w:t>
      </w:r>
    </w:p>
    <w:p>
      <w:pPr>
        <w:pageBreakBefore w:val="0"/>
        <w:kinsoku/>
        <w:wordWrap/>
        <w:overflowPunct/>
        <w:topLinePunct w:val="0"/>
        <w:autoSpaceDE/>
        <w:autoSpaceDN/>
        <w:bidi w:val="0"/>
        <w:adjustRightInd/>
        <w:snapToGrid/>
        <w:spacing w:line="500" w:lineRule="exact"/>
        <w:ind w:firstLine="561"/>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（2）建立专业核心课程教学团队，以《人力资源管理</w:t>
      </w:r>
      <w:r>
        <w:rPr>
          <w:rFonts w:hint="eastAsia" w:ascii="仿宋_GB2312" w:hAnsi="仿宋_GB2312" w:eastAsia="仿宋_GB2312" w:cs="仿宋_GB2312"/>
          <w:sz w:val="24"/>
          <w:szCs w:val="24"/>
          <w:lang w:eastAsia="zh-CN"/>
        </w:rPr>
        <w:t>》《劳动关系与劳动法》《</w:t>
      </w:r>
      <w:r>
        <w:rPr>
          <w:rFonts w:hint="eastAsia" w:ascii="仿宋_GB2312" w:hAnsi="仿宋_GB2312" w:eastAsia="仿宋_GB2312" w:cs="仿宋_GB2312"/>
          <w:sz w:val="24"/>
          <w:szCs w:val="24"/>
        </w:rPr>
        <w:t>招聘与</w:t>
      </w:r>
      <w:r>
        <w:rPr>
          <w:rFonts w:hint="eastAsia" w:ascii="仿宋_GB2312" w:hAnsi="仿宋_GB2312" w:eastAsia="仿宋_GB2312" w:cs="仿宋_GB2312"/>
          <w:sz w:val="24"/>
          <w:szCs w:val="24"/>
          <w:lang w:eastAsia="zh-CN"/>
        </w:rPr>
        <w:t>人才测评》《</w:t>
      </w:r>
      <w:r>
        <w:rPr>
          <w:rFonts w:hint="eastAsia" w:ascii="仿宋_GB2312" w:hAnsi="仿宋_GB2312" w:eastAsia="仿宋_GB2312" w:cs="仿宋_GB2312"/>
          <w:sz w:val="24"/>
          <w:szCs w:val="24"/>
        </w:rPr>
        <w:t>培训</w:t>
      </w:r>
      <w:r>
        <w:rPr>
          <w:rFonts w:hint="eastAsia" w:ascii="仿宋_GB2312" w:hAnsi="仿宋_GB2312" w:eastAsia="仿宋_GB2312" w:cs="仿宋_GB2312"/>
          <w:sz w:val="24"/>
          <w:szCs w:val="24"/>
          <w:lang w:eastAsia="zh-CN"/>
        </w:rPr>
        <w:t>与人才开发》《</w:t>
      </w:r>
      <w:r>
        <w:rPr>
          <w:rFonts w:hint="eastAsia" w:ascii="仿宋_GB2312" w:hAnsi="仿宋_GB2312" w:eastAsia="仿宋_GB2312" w:cs="仿宋_GB2312"/>
          <w:sz w:val="24"/>
          <w:szCs w:val="24"/>
        </w:rPr>
        <w:t>薪酬</w:t>
      </w:r>
      <w:r>
        <w:rPr>
          <w:rFonts w:hint="eastAsia" w:ascii="仿宋_GB2312" w:hAnsi="仿宋_GB2312" w:eastAsia="仿宋_GB2312" w:cs="仿宋_GB2312"/>
          <w:sz w:val="24"/>
          <w:szCs w:val="24"/>
          <w:lang w:eastAsia="zh-CN"/>
        </w:rPr>
        <w:t>与福利》《</w:t>
      </w:r>
      <w:r>
        <w:rPr>
          <w:rFonts w:hint="eastAsia" w:ascii="仿宋_GB2312" w:hAnsi="仿宋_GB2312" w:eastAsia="仿宋_GB2312" w:cs="仿宋_GB2312"/>
          <w:sz w:val="24"/>
          <w:szCs w:val="24"/>
        </w:rPr>
        <w:t xml:space="preserve">绩效管理》等课程为核心，在超星学习通等数字化平台建立专业课程教学资源库，其中包括电子教案、电子教材、课件、多媒体素材库、习题库、试题库、案例库等，为实现学生自主学习和相互交流提供优质的共享资源平台。 </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华商学院综合实训</w:t>
      </w:r>
      <w:r>
        <w:rPr>
          <w:rFonts w:hint="eastAsia" w:ascii="仿宋_GB2312" w:hAnsi="仿宋_GB2312" w:eastAsia="仿宋_GB2312" w:cs="仿宋_GB2312"/>
          <w:sz w:val="24"/>
          <w:szCs w:val="24"/>
        </w:rPr>
        <w:t>实验平台可为本专业教学提供</w:t>
      </w:r>
      <w:r>
        <w:rPr>
          <w:rFonts w:hint="eastAsia" w:ascii="仿宋_GB2312" w:hAnsi="仿宋_GB2312" w:eastAsia="仿宋_GB2312" w:cs="仿宋_GB2312"/>
          <w:sz w:val="24"/>
          <w:szCs w:val="24"/>
          <w:lang w:eastAsia="zh-CN"/>
        </w:rPr>
        <w:t>招聘与测评</w:t>
      </w:r>
      <w:r>
        <w:rPr>
          <w:rFonts w:hint="eastAsia" w:ascii="仿宋_GB2312" w:hAnsi="仿宋_GB2312" w:eastAsia="仿宋_GB2312" w:cs="仿宋_GB2312"/>
          <w:sz w:val="24"/>
          <w:szCs w:val="24"/>
        </w:rPr>
        <w:t>、薪酬福利、人力资源共享服务、报表分析、</w:t>
      </w:r>
      <w:r>
        <w:rPr>
          <w:rFonts w:hint="eastAsia" w:ascii="仿宋_GB2312" w:hAnsi="仿宋_GB2312" w:eastAsia="仿宋_GB2312" w:cs="仿宋_GB2312"/>
          <w:sz w:val="24"/>
          <w:szCs w:val="24"/>
          <w:lang w:eastAsia="zh-CN"/>
        </w:rPr>
        <w:t>人力资源数据</w:t>
      </w:r>
      <w:r>
        <w:rPr>
          <w:rFonts w:hint="eastAsia" w:ascii="仿宋_GB2312" w:hAnsi="仿宋_GB2312" w:eastAsia="仿宋_GB2312" w:cs="仿宋_GB2312"/>
          <w:sz w:val="24"/>
          <w:szCs w:val="24"/>
        </w:rPr>
        <w:t>分析等全方位的数字化实训资源。</w:t>
      </w:r>
    </w:p>
    <w:p>
      <w:pPr>
        <w:pStyle w:val="3"/>
        <w:pageBreakBefore w:val="0"/>
        <w:widowControl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ageBreakBefore w:val="0"/>
        <w:widowControl w:val="0"/>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1.专业教学质量管控组织</w:t>
      </w:r>
    </w:p>
    <w:p>
      <w:pPr>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xml:space="preserve">    管理学院</w:t>
      </w:r>
      <w:r>
        <w:rPr>
          <w:rFonts w:hint="eastAsia" w:ascii="仿宋_GB2312" w:hAnsi="仿宋_GB2312" w:eastAsia="仿宋_GB2312" w:cs="仿宋_GB2312"/>
          <w:sz w:val="24"/>
          <w:szCs w:val="24"/>
        </w:rPr>
        <w:t>组建专业群建设指导委员会和教学质量管理委员会两个教学质量控制组织。发挥管理学院专业群建设指导委员会校内外专家在专业规划和人才培养方面的指导作用，对专业人才培养方案和重大专业建设问题进行审议、论证，使各专业人才培养更好地对接地方产业经济与社会发展需求；发挥管理学院教学质量管理委员会教学监督与管理职能作用，加强教学质量检查、评价等。</w:t>
      </w:r>
    </w:p>
    <w:p>
      <w:pPr>
        <w:pageBreakBefore w:val="0"/>
        <w:widowControl w:val="0"/>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2.教学运行管理制度</w:t>
      </w:r>
    </w:p>
    <w:p>
      <w:pPr>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rPr>
        <w:t>（1）教学检查及听课制度。为了使教学工作顺利进行，结合学校有关规定，二级学院制定了相关管理制度。包括：工作常规检查，即每学期期初、期中、期末按照教务处的要求检查本学期上课教师的教案、授课进度表等。不定期抽查，即督导小组每学期不定期抽查教案、作业，期末对考试、考查情况进行检查。建立听课制度，高级职称返聘教师每周至少听课2节，对青年教师给予指导；专业负责人每学期听课均不少于8节，了解专业教师教学情况以及学生学习状况。初级教师每周至少听课2节，向其他教师学习；定期组织公开课，组织教师相互观摩学习。</w:t>
      </w:r>
    </w:p>
    <w:p>
      <w:pPr>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rPr>
        <w:t>（2）考试管理制度。规范命题制卷、严肃考试纪律，严格考场管理。规范阅卷环节，坚持考前教育与考场严格管理相结合，建立巡考检查责任制，充分发挥试卷成绩分析在反馈教学效果方面的重要作用，针对性地改进教学，以不断提高教学质量。</w:t>
      </w:r>
    </w:p>
    <w:p>
      <w:pPr>
        <w:pStyle w:val="31"/>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rPr>
        <w:t>（3）</w:t>
      </w:r>
      <w:r>
        <w:rPr>
          <w:rFonts w:hint="eastAsia" w:ascii="仿宋_GB2312" w:hAnsi="仿宋_GB2312" w:eastAsia="仿宋_GB2312" w:cs="仿宋_GB2312"/>
          <w:kern w:val="0"/>
          <w:sz w:val="24"/>
          <w:szCs w:val="24"/>
        </w:rPr>
        <w:t>毕业实习管理制度。毕业实习接受学校、学院的统一教学管理。接受毕业实习的企业应安排专门人员负责本单位所有学生的实习指导，明确学生实习岗位，准时、足额发放薪酬，配合校方完成实习期间的教学任务。</w:t>
      </w:r>
    </w:p>
    <w:p>
      <w:pPr>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rPr>
        <w:t>（4）教师考核制度。教师考核于每年年末进行，考核对象为在教师岗位上从事教学工作的专任教师；考核内容包括思想政治表现考核、教学工作考核、教研工作考核和其他工作考核，考核结果分为优秀、良好、合格、基本合格和不合格五个等级。</w:t>
      </w:r>
    </w:p>
    <w:p>
      <w:pPr>
        <w:pageBreakBefore w:val="0"/>
        <w:widowControl w:val="0"/>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3.教学质量监督机制</w:t>
      </w:r>
    </w:p>
    <w:p>
      <w:pPr>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rPr>
        <w:t>（1）三级评教。实施学生评教、教师互评和督导评教的三级评教机制，评价结果及时反馈，以利于教师及时改进教学，保证教学质量。</w:t>
      </w:r>
    </w:p>
    <w:p>
      <w:pPr>
        <w:pStyle w:val="2"/>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rPr>
        <w:t>（2）座谈会。教学主管人员定期和不定期组织教师座谈会、学生座谈会，及时了解教学、管理中存在的问题，听取教师和学生意见、建议，并形成书面记录，有关意见和建议要及时进行反馈或处理。教师座谈会、学生座谈会每学期至少召开一次。</w:t>
      </w:r>
    </w:p>
    <w:p>
      <w:pPr>
        <w:pStyle w:val="3"/>
        <w:pageBreakBefore w:val="0"/>
        <w:widowControl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1B97881"/>
    <w:rsid w:val="15CE3B81"/>
    <w:rsid w:val="16AA639C"/>
    <w:rsid w:val="18C92265"/>
    <w:rsid w:val="1CFC00EB"/>
    <w:rsid w:val="1D2263A7"/>
    <w:rsid w:val="336116BF"/>
    <w:rsid w:val="41586871"/>
    <w:rsid w:val="43520C29"/>
    <w:rsid w:val="54365D54"/>
    <w:rsid w:val="561D69E5"/>
    <w:rsid w:val="587362E6"/>
    <w:rsid w:val="59B00D72"/>
    <w:rsid w:val="5E663E7D"/>
    <w:rsid w:val="65975A77"/>
    <w:rsid w:val="66540BE2"/>
    <w:rsid w:val="6A5A7287"/>
    <w:rsid w:val="6E921986"/>
    <w:rsid w:val="76110221"/>
    <w:rsid w:val="78F439C6"/>
    <w:rsid w:val="79835F8E"/>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 w:type="paragraph" w:customStyle="1" w:styleId="31">
    <w:name w:val="大正文文本"/>
    <w:basedOn w:val="1"/>
    <w:qFormat/>
    <w:uiPriority w:val="0"/>
    <w:pPr>
      <w:spacing w:line="360" w:lineRule="auto"/>
      <w:ind w:firstLine="480" w:firstLineChars="200"/>
    </w:pPr>
    <w:rPr>
      <w:rFonts w:ascii="宋体" w:hAnsi="宋体" w:cstheme="minorBidi"/>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10361</Words>
  <Characters>10952</Characters>
  <Lines>33</Lines>
  <Paragraphs>9</Paragraphs>
  <TotalTime>0</TotalTime>
  <ScaleCrop>false</ScaleCrop>
  <LinksUpToDate>false</LinksUpToDate>
  <CharactersWithSpaces>11055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2023-06-27T01:40:10Z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AC94BD5CC17D4A2DA91C81BE37AF6449_13</vt:lpwstr>
  </property>
</Properties>
</file>